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p>
    <w:p>
      <w:pPr>
        <w:jc w:val="center"/>
        <w:rPr>
          <w:sz w:val="48"/>
          <w:szCs w:val="48"/>
        </w:rPr>
      </w:pPr>
    </w:p>
    <w:p>
      <w:pPr>
        <w:jc w:val="center"/>
        <w:rPr>
          <w:sz w:val="48"/>
          <w:szCs w:val="48"/>
        </w:rPr>
      </w:pPr>
    </w:p>
    <w:p>
      <w:pPr>
        <w:jc w:val="center"/>
        <w:rPr>
          <w:sz w:val="48"/>
          <w:szCs w:val="48"/>
        </w:rPr>
      </w:pPr>
      <w:r>
        <w:rPr>
          <w:rFonts w:hint="eastAsia"/>
          <w:sz w:val="48"/>
          <w:szCs w:val="48"/>
        </w:rPr>
        <w:t xml:space="preserve">     </w:t>
      </w:r>
      <w:r>
        <w:drawing>
          <wp:inline distT="0" distB="0" distL="0" distR="0">
            <wp:extent cx="3063875" cy="3063875"/>
            <wp:effectExtent l="0" t="0" r="0" b="0"/>
            <wp:docPr id="4" name="图片 1" descr="C:\Users\lenovo\AppData\Local\Temp\ksohtml11336\wps1.jpg"/>
            <wp:cNvGraphicFramePr>
              <a:graphicFrameLocks noChangeAspect="1"/>
            </wp:cNvGraphicFramePr>
            <a:graphic>
              <a:graphicData uri="http://schemas.openxmlformats.org/drawingml/2006/picture">
                <pic:pic>
                  <pic:nvPicPr>
                    <pic:cNvPr id="6" name="图片 1 6"/>
                    <pic:cNvPicPr/>
                  </pic:nvPicPr>
                  <pic:blipFill>
                    <a:blip r:embed="rId4"/>
                    <a:stretch>
                      <a:fillRect/>
                    </a:stretch>
                  </pic:blipFill>
                  <pic:spPr>
                    <a:xfrm rot="0">
                      <a:off x="0" y="0"/>
                      <a:ext cx="3063875" cy="3063875"/>
                    </a:xfrm>
                    <a:prstGeom prst="rect"/>
                    <a:noFill/>
                    <a:ln w="9525" cmpd="sng" cap="flat">
                      <a:noFill/>
                      <a:prstDash val="solid"/>
                      <a:miter/>
                    </a:ln>
                  </pic:spPr>
                </pic:pic>
              </a:graphicData>
            </a:graphic>
          </wp:inline>
        </w:drawing>
      </w:r>
    </w:p>
    <w:p>
      <w:pPr>
        <w:jc w:val="center"/>
        <w:rPr>
          <w:sz w:val="48"/>
          <w:szCs w:val="48"/>
        </w:rPr>
      </w:pPr>
      <w:r>
        <w:rPr>
          <w:rFonts w:hint="eastAsia"/>
          <w:sz w:val="48"/>
          <w:szCs w:val="48"/>
        </w:rPr>
        <w:t xml:space="preserve">                   </w:t>
      </w:r>
    </w:p>
    <w:p>
      <w:pPr>
        <w:jc w:val="center"/>
        <w:rPr>
          <w:sz w:val="48"/>
          <w:szCs w:val="48"/>
        </w:rPr>
      </w:pPr>
    </w:p>
    <w:p>
      <w:pPr>
        <w:jc w:val="center"/>
        <w:rPr>
          <w:sz w:val="48"/>
          <w:szCs w:val="48"/>
        </w:rPr>
      </w:pPr>
    </w:p>
    <w:p>
      <w:pPr>
        <w:jc w:val="center"/>
        <w:rPr>
          <w:sz w:val="84"/>
          <w:szCs w:val="84"/>
        </w:rPr>
      </w:pPr>
      <w:r>
        <w:rPr>
          <w:sz w:val="84"/>
          <w:szCs w:val="84"/>
        </w:rPr>
        <w:t>中山</w:t>
      </w:r>
      <w:r>
        <w:rPr>
          <w:rFonts w:hint="eastAsia"/>
          <w:sz w:val="84"/>
          <w:szCs w:val="84"/>
        </w:rPr>
        <w:t>海关</w:t>
      </w:r>
      <w:r>
        <w:rPr>
          <w:sz w:val="84"/>
          <w:szCs w:val="84"/>
        </w:rPr>
        <w:t>后勤管理中心</w:t>
      </w:r>
      <w:r>
        <w:rPr>
          <w:rFonts w:hint="eastAsia"/>
          <w:sz w:val="84"/>
          <w:szCs w:val="84"/>
        </w:rPr>
        <w:t>部门预算</w:t>
      </w:r>
    </w:p>
    <w:p>
      <w:pPr>
        <w:jc w:val="center"/>
        <w:rPr>
          <w:sz w:val="44"/>
          <w:szCs w:val="44"/>
        </w:rPr>
      </w:pPr>
      <w:r>
        <w:rPr>
          <w:rFonts w:hint="eastAsia"/>
          <w:sz w:val="44"/>
          <w:szCs w:val="44"/>
        </w:rPr>
        <w:t>2026年</w:t>
      </w:r>
    </w:p>
    <w:p>
      <w:pPr>
        <w:jc w:val="center"/>
        <w:rPr>
          <w:b/>
          <w:sz w:val="44"/>
          <w:szCs w:val="44"/>
        </w:rPr>
      </w:pPr>
    </w:p>
    <w:p>
      <w:pPr>
        <w:jc w:val="center"/>
        <w:rPr>
          <w:b/>
          <w:sz w:val="44"/>
          <w:szCs w:val="44"/>
        </w:rPr>
      </w:pPr>
    </w:p>
    <w:p>
      <w:pPr>
        <w:jc w:val="center"/>
        <w:rPr>
          <w:b/>
          <w:sz w:val="84"/>
          <w:szCs w:val="84"/>
        </w:rPr>
      </w:pPr>
      <w:r>
        <w:rPr>
          <w:b/>
          <w:sz w:val="84"/>
          <w:szCs w:val="84"/>
        </w:rPr>
        <w:t>目  录</w:t>
      </w:r>
    </w:p>
    <w:p>
      <w:pPr>
        <w:ind w:firstLineChars="147" w:firstLine="647"/>
        <w:rPr>
          <w:rFonts w:eastAsia="方正黑体_GBK"/>
          <w:sz w:val="44"/>
          <w:szCs w:val="44"/>
        </w:rPr>
      </w:pPr>
      <w:r>
        <w:rPr>
          <w:rFonts w:eastAsia="方正黑体_GBK" w:hint="eastAsia"/>
          <w:sz w:val="44"/>
          <w:szCs w:val="44"/>
        </w:rPr>
        <w:t>第一部分  中山海关后勤管理中心概况</w:t>
      </w:r>
    </w:p>
    <w:p>
      <w:pPr>
        <w:ind w:firstLineChars="147" w:firstLine="529"/>
        <w:rPr>
          <w:rFonts w:eastAsia="方正仿宋_GBK"/>
          <w:sz w:val="36"/>
          <w:szCs w:val="36"/>
        </w:rPr>
      </w:pPr>
      <w:r>
        <w:rPr>
          <w:rFonts w:eastAsia="方正仿宋_GBK" w:hint="eastAsia"/>
          <w:sz w:val="36"/>
          <w:szCs w:val="36"/>
        </w:rPr>
        <w:t>一、主要职能</w:t>
      </w:r>
    </w:p>
    <w:p>
      <w:pPr>
        <w:ind w:firstLineChars="147" w:firstLine="529"/>
        <w:rPr>
          <w:rFonts w:eastAsia="方正仿宋_GBK"/>
          <w:sz w:val="32"/>
          <w:szCs w:val="32"/>
        </w:rPr>
      </w:pPr>
      <w:r>
        <w:rPr>
          <w:rFonts w:eastAsia="方正仿宋_GBK" w:hint="eastAsia"/>
          <w:sz w:val="36"/>
          <w:szCs w:val="36"/>
        </w:rPr>
        <w:t xml:space="preserve">二、单位构成情况 </w:t>
      </w:r>
    </w:p>
    <w:p>
      <w:pPr>
        <w:ind w:firstLineChars="147" w:firstLine="647"/>
        <w:rPr>
          <w:rFonts w:eastAsia="方正黑体_GBK"/>
          <w:sz w:val="44"/>
          <w:szCs w:val="44"/>
        </w:rPr>
      </w:pPr>
      <w:r>
        <w:rPr>
          <w:rFonts w:eastAsia="方正黑体_GBK" w:hint="eastAsia"/>
          <w:sz w:val="44"/>
          <w:szCs w:val="44"/>
        </w:rPr>
        <w:t>第二部分  中山海关后勤管理中心2026年预算表</w:t>
      </w:r>
    </w:p>
    <w:p>
      <w:pPr>
        <w:ind w:firstLineChars="147" w:firstLine="529"/>
        <w:rPr>
          <w:rFonts w:eastAsia="方正仿宋_GBK"/>
          <w:color w:val="3366FF"/>
          <w:sz w:val="36"/>
          <w:szCs w:val="36"/>
        </w:rPr>
      </w:pPr>
      <w:r>
        <w:rPr>
          <w:rFonts w:eastAsia="方正仿宋_GBK" w:hint="eastAsia"/>
          <w:sz w:val="36"/>
          <w:szCs w:val="36"/>
        </w:rPr>
        <w:t>一、部门收支总表</w:t>
      </w:r>
    </w:p>
    <w:p>
      <w:pPr>
        <w:ind w:firstLineChars="147" w:firstLine="529"/>
        <w:rPr>
          <w:rFonts w:eastAsia="方正仿宋_GBK"/>
          <w:sz w:val="36"/>
          <w:szCs w:val="36"/>
        </w:rPr>
      </w:pPr>
      <w:r>
        <w:rPr>
          <w:rFonts w:eastAsia="方正仿宋_GBK" w:hint="eastAsia"/>
          <w:sz w:val="36"/>
          <w:szCs w:val="36"/>
        </w:rPr>
        <w:t>二、部门收入总表</w:t>
      </w:r>
    </w:p>
    <w:p>
      <w:pPr>
        <w:ind w:firstLineChars="147" w:firstLine="529"/>
        <w:rPr>
          <w:rFonts w:eastAsia="方正仿宋_GBK"/>
          <w:sz w:val="36"/>
          <w:szCs w:val="36"/>
        </w:rPr>
      </w:pPr>
      <w:r>
        <w:rPr>
          <w:rFonts w:eastAsia="方正仿宋_GBK" w:hint="eastAsia"/>
          <w:sz w:val="36"/>
          <w:szCs w:val="36"/>
        </w:rPr>
        <w:t>三、部门支出总表</w:t>
      </w:r>
    </w:p>
    <w:p>
      <w:pPr>
        <w:ind w:firstLineChars="147" w:firstLine="529"/>
        <w:rPr>
          <w:rFonts w:eastAsia="方正仿宋_GBK"/>
          <w:sz w:val="36"/>
          <w:szCs w:val="36"/>
        </w:rPr>
      </w:pPr>
      <w:r>
        <w:rPr>
          <w:rFonts w:eastAsia="方正仿宋_GBK" w:hint="eastAsia"/>
          <w:sz w:val="36"/>
          <w:szCs w:val="36"/>
        </w:rPr>
        <w:t>四、财政拨款收支总表</w:t>
      </w:r>
    </w:p>
    <w:p>
      <w:pPr>
        <w:ind w:firstLineChars="147" w:firstLine="529"/>
        <w:rPr>
          <w:rFonts w:eastAsia="方正仿宋_GBK"/>
          <w:sz w:val="36"/>
          <w:szCs w:val="36"/>
        </w:rPr>
      </w:pPr>
      <w:r>
        <w:rPr>
          <w:rFonts w:eastAsia="方正仿宋_GBK" w:hint="eastAsia"/>
          <w:sz w:val="36"/>
          <w:szCs w:val="36"/>
        </w:rPr>
        <w:t>五、一般公共预算支出表</w:t>
      </w:r>
    </w:p>
    <w:p>
      <w:pPr>
        <w:ind w:firstLineChars="147" w:firstLine="529"/>
        <w:rPr>
          <w:rFonts w:eastAsia="方正仿宋_GBK"/>
          <w:sz w:val="36"/>
          <w:szCs w:val="36"/>
        </w:rPr>
      </w:pPr>
      <w:r>
        <w:rPr>
          <w:rFonts w:eastAsia="方正仿宋_GBK" w:hint="eastAsia"/>
          <w:sz w:val="36"/>
          <w:szCs w:val="36"/>
        </w:rPr>
        <w:t>六、一般公共预算基本支出表</w:t>
      </w:r>
    </w:p>
    <w:p>
      <w:pPr>
        <w:ind w:firstLineChars="147" w:firstLine="529"/>
        <w:rPr>
          <w:rFonts w:eastAsia="方正仿宋_GBK"/>
          <w:sz w:val="36"/>
          <w:szCs w:val="36"/>
        </w:rPr>
      </w:pPr>
      <w:r>
        <w:rPr>
          <w:rFonts w:eastAsia="方正仿宋_GBK" w:hint="eastAsia"/>
          <w:sz w:val="36"/>
          <w:szCs w:val="36"/>
        </w:rPr>
        <w:t>七、</w:t>
      </w:r>
      <w:r>
        <w:rPr>
          <w:rFonts w:eastAsia="方正仿宋_GBK" w:cs="宋体" w:hint="eastAsia"/>
          <w:bCs/>
          <w:color w:val="000000"/>
          <w:kern w:val="0"/>
          <w:sz w:val="36"/>
          <w:szCs w:val="36"/>
        </w:rPr>
        <w:t>政府性基金预算支出表</w:t>
      </w:r>
    </w:p>
    <w:p>
      <w:pPr>
        <w:ind w:firstLineChars="147" w:firstLine="529"/>
        <w:rPr>
          <w:rFonts w:eastAsia="方正仿宋_GBK"/>
          <w:sz w:val="36"/>
          <w:szCs w:val="36"/>
        </w:rPr>
      </w:pPr>
      <w:r>
        <w:rPr>
          <w:rFonts w:eastAsia="方正仿宋_GBK" w:hint="eastAsia"/>
          <w:sz w:val="36"/>
          <w:szCs w:val="36"/>
        </w:rPr>
        <w:t>八、</w:t>
      </w:r>
      <w:r>
        <w:rPr>
          <w:rFonts w:eastAsia="方正仿宋_GBK" w:cs="宋体" w:hint="eastAsia"/>
          <w:bCs/>
          <w:color w:val="000000"/>
          <w:kern w:val="0"/>
          <w:sz w:val="36"/>
          <w:szCs w:val="36"/>
        </w:rPr>
        <w:t>国有资本经营预算支出表</w:t>
      </w:r>
    </w:p>
    <w:p>
      <w:pPr>
        <w:ind w:firstLineChars="147" w:firstLine="529"/>
        <w:rPr>
          <w:rFonts w:eastAsia="方正仿宋_GBK"/>
          <w:sz w:val="36"/>
          <w:szCs w:val="36"/>
        </w:rPr>
      </w:pPr>
      <w:r>
        <w:rPr>
          <w:rFonts w:eastAsia="方正仿宋_GBK" w:hint="eastAsia"/>
          <w:sz w:val="36"/>
          <w:szCs w:val="36"/>
        </w:rPr>
        <w:t>九、财政拨款预算“三公”经费支出表</w:t>
      </w:r>
    </w:p>
    <w:p>
      <w:pPr>
        <w:ind w:firstLineChars="147" w:firstLine="647"/>
        <w:rPr>
          <w:rFonts w:eastAsia="方正黑体_GBK"/>
          <w:sz w:val="44"/>
          <w:szCs w:val="44"/>
        </w:rPr>
      </w:pPr>
      <w:r>
        <w:rPr>
          <w:rFonts w:eastAsia="方正黑体_GBK" w:hint="eastAsia"/>
          <w:sz w:val="44"/>
          <w:szCs w:val="44"/>
        </w:rPr>
        <w:t>第三部分  2026年中山海关后勤管理中心预算说明</w:t>
      </w:r>
    </w:p>
    <w:p>
      <w:pPr>
        <w:ind w:firstLineChars="150" w:firstLine="660"/>
        <w:rPr>
          <w:rFonts w:eastAsia="方正黑体_GBK"/>
          <w:sz w:val="44"/>
          <w:szCs w:val="44"/>
        </w:rPr>
        <w:sectPr>
          <w:footerReference w:type="default" r:id="rId2"/>
          <w:footerReference w:type="even" r:id="rId3"/>
          <w:pgSz w:w="11906" w:h="16838"/>
          <w:pgMar w:top="1440" w:right="1418" w:bottom="1440" w:left="1418" w:header="851" w:footer="992" w:gutter="0"/>
          <w:docGrid w:type="linesAndChars" w:linePitch="312" w:charSpace="0"/>
        </w:sectPr>
      </w:pPr>
      <w:r>
        <w:rPr>
          <w:rFonts w:eastAsia="方正黑体_GBK" w:hint="eastAsia"/>
          <w:sz w:val="44"/>
          <w:szCs w:val="44"/>
        </w:rPr>
        <w:t>第四部分  名词解释</w:t>
      </w:r>
    </w:p>
    <w:p>
      <w:pPr>
        <w:ind w:firstLineChars="147" w:firstLine="647"/>
        <w:rPr>
          <w:b/>
          <w:sz w:val="44"/>
          <w:szCs w:val="44"/>
        </w:rPr>
      </w:pPr>
    </w:p>
    <w:p>
      <w:pPr>
        <w:ind w:firstLineChars="147" w:firstLine="647"/>
        <w:rPr>
          <w:b/>
          <w:sz w:val="44"/>
          <w:szCs w:val="44"/>
        </w:rPr>
      </w:pPr>
    </w:p>
    <w:p>
      <w:pPr>
        <w:ind w:firstLineChars="147" w:firstLine="647"/>
        <w:rPr>
          <w:b/>
          <w:sz w:val="44"/>
          <w:szCs w:val="44"/>
        </w:rPr>
      </w:pPr>
    </w:p>
    <w:p>
      <w:pPr>
        <w:ind w:firstLineChars="147" w:firstLine="647"/>
        <w:rPr>
          <w:b/>
          <w:sz w:val="44"/>
          <w:szCs w:val="44"/>
        </w:rPr>
      </w:pPr>
    </w:p>
    <w:p>
      <w:pPr>
        <w:jc w:val="center"/>
        <w:rPr>
          <w:b/>
          <w:sz w:val="84"/>
          <w:szCs w:val="84"/>
        </w:rPr>
      </w:pPr>
      <w:r>
        <w:rPr>
          <w:rFonts w:hint="eastAsia"/>
          <w:b/>
          <w:sz w:val="84"/>
          <w:szCs w:val="84"/>
        </w:rPr>
        <w:t>第一部分</w:t>
      </w:r>
    </w:p>
    <w:p>
      <w:pPr>
        <w:ind w:rightChars="-159" w:right="-334"/>
        <w:jc w:val="center"/>
        <w:rPr>
          <w:b/>
          <w:sz w:val="84"/>
          <w:szCs w:val="84"/>
        </w:rPr>
      </w:pPr>
      <w:r>
        <w:rPr>
          <w:b/>
          <w:sz w:val="84"/>
          <w:szCs w:val="84"/>
        </w:rPr>
        <w:t>中山海关后勤管理中心</w:t>
      </w:r>
    </w:p>
    <w:p>
      <w:pPr>
        <w:jc w:val="center"/>
        <w:rPr>
          <w:b/>
          <w:sz w:val="84"/>
          <w:szCs w:val="84"/>
        </w:rPr>
      </w:pPr>
      <w:r>
        <w:rPr>
          <w:b/>
          <w:sz w:val="84"/>
          <w:szCs w:val="84"/>
        </w:rPr>
        <w:t>概况</w:t>
      </w:r>
    </w:p>
    <w:p>
      <w:pPr>
        <w:spacing w:line="560" w:lineRule="exact"/>
        <w:ind w:firstLineChars="147" w:firstLine="470"/>
        <w:rPr>
          <w:rFonts w:eastAsia="方正仿宋_GBK"/>
          <w:sz w:val="32"/>
          <w:szCs w:val="32"/>
        </w:rPr>
      </w:pPr>
    </w:p>
    <w:p>
      <w:pPr>
        <w:autoSpaceDN w:val="0"/>
        <w:spacing w:line="560" w:lineRule="exact"/>
        <w:ind w:firstLineChars="147" w:firstLine="470"/>
        <w:rPr>
          <w:rFonts w:eastAsia="方正黑体_GBK"/>
          <w:sz w:val="32"/>
          <w:szCs w:val="32"/>
        </w:rPr>
      </w:pPr>
      <w:r>
        <w:rPr>
          <w:rFonts w:eastAsia="方正仿宋_GBK"/>
          <w:sz w:val="32"/>
          <w:szCs w:val="32"/>
        </w:rPr>
        <w:br w:type="page"/>
      </w:r>
      <w:r>
        <w:rPr>
          <w:rFonts w:eastAsia="方正黑体_GBK" w:hint="eastAsia"/>
          <w:sz w:val="32"/>
          <w:szCs w:val="32"/>
        </w:rPr>
        <w:t>一、主要职能</w:t>
      </w:r>
    </w:p>
    <w:p>
      <w:pPr>
        <w:pStyle w:val="26"/>
        <w:spacing w:line="560" w:lineRule="exact"/>
        <w:ind w:firstLineChars="147" w:firstLine="470"/>
        <w:rPr>
          <w:rFonts w:eastAsia="方正仿宋_GBK"/>
          <w:color w:val="000000"/>
          <w:sz w:val="32"/>
          <w:szCs w:val="32"/>
        </w:rPr>
      </w:pPr>
      <w:r>
        <w:rPr>
          <w:rFonts w:eastAsia="方正仿宋_GBK" w:hint="eastAsia"/>
          <w:color w:val="000000"/>
          <w:sz w:val="32"/>
          <w:szCs w:val="32"/>
        </w:rPr>
        <w:t>根据《中央编办关于海关系统事业单位整合调整事宜的批复》（中央编办复字〔2019〕33号）、《海关总署关于拱北海关所属事业单位整合调整事宜的通知》（署人发〔2019〕135 号），中山海关后勤管理中心为中山海关所属事业单位。</w:t>
      </w:r>
    </w:p>
    <w:p>
      <w:pPr>
        <w:pStyle w:val="3102"/>
        <w:adjustRightInd w:val="0"/>
        <w:snapToGrid w:val="0"/>
        <w:spacing w:line="560" w:lineRule="exact"/>
        <w:ind w:firstLineChars="147" w:firstLine="470"/>
        <w:rPr>
          <w:rFonts w:eastAsia="方正仿宋_GBK"/>
          <w:color w:val="000000"/>
          <w:sz w:val="32"/>
          <w:szCs w:val="32"/>
        </w:rPr>
      </w:pPr>
      <w:r>
        <w:rPr>
          <w:rFonts w:eastAsia="方正仿宋_GBK" w:hint="eastAsia"/>
          <w:color w:val="000000"/>
          <w:sz w:val="32"/>
          <w:szCs w:val="32"/>
        </w:rPr>
        <w:t>（一）承担拱北海关（中山片区）的安全保卫、环境卫生、绿化、人防、防汛、消防、防灾减灾工作；承担中山片区集体户口管理工作。</w:t>
      </w:r>
    </w:p>
    <w:p>
      <w:pPr>
        <w:pStyle w:val="3102"/>
        <w:adjustRightInd w:val="0"/>
        <w:snapToGrid w:val="0"/>
        <w:spacing w:line="560" w:lineRule="exact"/>
        <w:ind w:firstLineChars="147" w:firstLine="470"/>
        <w:rPr>
          <w:rFonts w:eastAsia="方正仿宋_GBK"/>
          <w:color w:val="000000"/>
          <w:sz w:val="32"/>
          <w:szCs w:val="32"/>
        </w:rPr>
      </w:pPr>
      <w:r>
        <w:rPr>
          <w:rFonts w:eastAsia="方正仿宋_GBK" w:hint="eastAsia"/>
          <w:color w:val="000000"/>
          <w:sz w:val="32"/>
          <w:szCs w:val="32"/>
        </w:rPr>
        <w:t>（二）承担拱北海关（中山片区）房产的日常管理和办公、生活基础设施设备的使用维护及服务管理工作；承担中山片区生活区、宿舍小区物业管理工作和相关服务工作。</w:t>
      </w:r>
    </w:p>
    <w:p>
      <w:pPr>
        <w:pStyle w:val="3102"/>
        <w:adjustRightInd w:val="0"/>
        <w:snapToGrid w:val="0"/>
        <w:spacing w:line="560" w:lineRule="exact"/>
        <w:ind w:firstLineChars="147" w:firstLine="470"/>
        <w:rPr>
          <w:rFonts w:eastAsia="方正仿宋_GBK"/>
          <w:color w:val="000000"/>
          <w:sz w:val="32"/>
          <w:szCs w:val="32"/>
        </w:rPr>
      </w:pPr>
      <w:r>
        <w:rPr>
          <w:rFonts w:eastAsia="方正仿宋_GBK" w:hint="eastAsia"/>
          <w:color w:val="000000"/>
          <w:sz w:val="32"/>
          <w:szCs w:val="32"/>
        </w:rPr>
        <w:t>（三）承担拱北海关（中山片区）的干部职工食堂、招待所等海关内部生活服务的管理工作；承担中山片区重大会议和公务活动的服务保障工作。</w:t>
      </w:r>
    </w:p>
    <w:p>
      <w:pPr>
        <w:pStyle w:val="3102"/>
        <w:adjustRightInd w:val="0"/>
        <w:snapToGrid w:val="0"/>
        <w:spacing w:line="560" w:lineRule="exact"/>
        <w:ind w:firstLineChars="147" w:firstLine="470"/>
        <w:rPr>
          <w:rFonts w:eastAsia="方正仿宋_GBK"/>
          <w:color w:val="000000"/>
          <w:sz w:val="32"/>
          <w:szCs w:val="32"/>
        </w:rPr>
      </w:pPr>
      <w:r>
        <w:rPr>
          <w:rFonts w:eastAsia="方正仿宋_GBK" w:hint="eastAsia"/>
          <w:color w:val="000000"/>
          <w:sz w:val="32"/>
          <w:szCs w:val="32"/>
        </w:rPr>
        <w:t>（四）承担拱北海关（中山片区）的交通安全日常事务管理工作；承担中山片区公务车辆管理及社会化通勤用车服务保障等相关工作。</w:t>
      </w:r>
    </w:p>
    <w:p>
      <w:pPr>
        <w:pStyle w:val="3102"/>
        <w:adjustRightInd w:val="0"/>
        <w:snapToGrid w:val="0"/>
        <w:spacing w:line="560" w:lineRule="exact"/>
        <w:ind w:firstLineChars="147" w:firstLine="470"/>
        <w:rPr>
          <w:rFonts w:eastAsia="方正仿宋_GBK"/>
          <w:color w:val="000000"/>
          <w:sz w:val="32"/>
          <w:szCs w:val="32"/>
        </w:rPr>
      </w:pPr>
      <w:r>
        <w:rPr>
          <w:rFonts w:eastAsia="方正仿宋_GBK" w:hint="eastAsia"/>
          <w:color w:val="000000"/>
          <w:sz w:val="32"/>
          <w:szCs w:val="32"/>
        </w:rPr>
        <w:t>（五）受拱北海关委托承担后勤产业综合服务保障运作管理工作。</w:t>
      </w:r>
    </w:p>
    <w:p>
      <w:pPr>
        <w:pStyle w:val="3102"/>
        <w:adjustRightInd w:val="0"/>
        <w:snapToGrid w:val="0"/>
        <w:spacing w:line="560" w:lineRule="exact"/>
        <w:ind w:firstLineChars="147" w:firstLine="470"/>
        <w:rPr>
          <w:rFonts w:eastAsia="方正仿宋_GBK"/>
          <w:color w:val="000000"/>
          <w:sz w:val="32"/>
          <w:szCs w:val="32"/>
        </w:rPr>
      </w:pPr>
      <w:r>
        <w:rPr>
          <w:rFonts w:eastAsia="方正仿宋_GBK" w:hint="eastAsia"/>
          <w:color w:val="000000"/>
          <w:sz w:val="32"/>
          <w:szCs w:val="32"/>
        </w:rPr>
        <w:t>（六）受拱北海关委托承担政府采购实施工作。</w:t>
      </w:r>
    </w:p>
    <w:p>
      <w:pPr>
        <w:pStyle w:val="3102"/>
        <w:adjustRightInd w:val="0"/>
        <w:snapToGrid w:val="0"/>
        <w:spacing w:line="560" w:lineRule="exact"/>
        <w:ind w:firstLineChars="147" w:firstLine="470"/>
        <w:rPr>
          <w:rFonts w:eastAsia="方正仿宋_GBK"/>
          <w:color w:val="000000"/>
          <w:sz w:val="32"/>
          <w:szCs w:val="32"/>
        </w:rPr>
      </w:pPr>
      <w:r>
        <w:rPr>
          <w:rFonts w:eastAsia="方正仿宋_GBK" w:hint="eastAsia"/>
          <w:color w:val="000000"/>
          <w:sz w:val="32"/>
          <w:szCs w:val="32"/>
        </w:rPr>
        <w:t>（七）承担拱北海关（中山片区）的公共基建、修缮项目施工等工作。</w:t>
      </w:r>
    </w:p>
    <w:p>
      <w:pPr>
        <w:pStyle w:val="3102"/>
        <w:adjustRightInd w:val="0"/>
        <w:snapToGrid w:val="0"/>
        <w:spacing w:line="560" w:lineRule="exact"/>
        <w:ind w:firstLineChars="147" w:firstLine="470"/>
        <w:rPr>
          <w:rFonts w:eastAsia="方正仿宋_GBK"/>
          <w:color w:val="000000"/>
          <w:sz w:val="32"/>
          <w:szCs w:val="32"/>
        </w:rPr>
      </w:pPr>
      <w:r>
        <w:rPr>
          <w:rFonts w:eastAsia="方正仿宋_GBK" w:hint="eastAsia"/>
          <w:color w:val="000000"/>
          <w:sz w:val="32"/>
          <w:szCs w:val="32"/>
        </w:rPr>
        <w:t>（八）承担拱北海关（中山片区）的装备设备、实物资产保管、调配及制服发放工作。</w:t>
      </w:r>
    </w:p>
    <w:p>
      <w:pPr>
        <w:pStyle w:val="3102"/>
        <w:adjustRightInd w:val="0"/>
        <w:snapToGrid w:val="0"/>
        <w:spacing w:line="560" w:lineRule="exact"/>
        <w:ind w:firstLineChars="147" w:firstLine="470"/>
        <w:rPr>
          <w:rFonts w:eastAsia="方正仿宋_GBK"/>
          <w:color w:val="000000"/>
          <w:sz w:val="32"/>
          <w:szCs w:val="32"/>
        </w:rPr>
      </w:pPr>
      <w:r>
        <w:rPr>
          <w:rFonts w:eastAsia="方正仿宋_GBK" w:hint="eastAsia"/>
          <w:color w:val="000000"/>
          <w:sz w:val="32"/>
          <w:szCs w:val="32"/>
        </w:rPr>
        <w:t>（九）承担自身组织建设和队伍建设，承担本单位管理七级岗位以下干部的推荐选拔、内设部门负责人以下人员岗位聘任和日常管理考核及中山片区不占编合同工日常管理工作。</w:t>
      </w:r>
    </w:p>
    <w:p>
      <w:pPr>
        <w:pStyle w:val="3102"/>
        <w:adjustRightInd w:val="0"/>
        <w:snapToGrid w:val="0"/>
        <w:spacing w:line="560" w:lineRule="exact"/>
        <w:ind w:firstLineChars="147" w:firstLine="470"/>
        <w:rPr>
          <w:rFonts w:eastAsia="方正仿宋_GBK"/>
          <w:color w:val="000000"/>
          <w:sz w:val="32"/>
          <w:szCs w:val="32"/>
        </w:rPr>
      </w:pPr>
      <w:r>
        <w:rPr>
          <w:rFonts w:eastAsia="方正仿宋_GBK" w:hint="eastAsia"/>
          <w:color w:val="000000"/>
          <w:sz w:val="32"/>
          <w:szCs w:val="32"/>
        </w:rPr>
        <w:t>（十）承担拱北海关交办的其他事项。</w:t>
      </w:r>
    </w:p>
    <w:p>
      <w:pPr>
        <w:autoSpaceDN w:val="0"/>
        <w:spacing w:line="560" w:lineRule="exact"/>
        <w:ind w:firstLineChars="147" w:firstLine="470"/>
        <w:rPr>
          <w:rFonts w:eastAsia="方正黑体_GBK"/>
          <w:sz w:val="32"/>
          <w:szCs w:val="32"/>
        </w:rPr>
      </w:pPr>
      <w:r>
        <w:rPr>
          <w:rFonts w:eastAsia="方正黑体_GBK" w:hint="eastAsia"/>
          <w:sz w:val="32"/>
          <w:szCs w:val="32"/>
        </w:rPr>
        <w:t>二、单位构成情况</w:t>
      </w:r>
    </w:p>
    <w:p>
      <w:pPr>
        <w:pStyle w:val="26"/>
        <w:spacing w:line="560" w:lineRule="exact"/>
        <w:ind w:firstLineChars="147" w:firstLine="470"/>
        <w:rPr>
          <w:rFonts w:eastAsia="方正仿宋_GBK"/>
          <w:color w:val="000000"/>
          <w:sz w:val="32"/>
          <w:szCs w:val="32"/>
        </w:rPr>
      </w:pPr>
      <w:r>
        <w:rPr>
          <w:rFonts w:eastAsia="方正仿宋_GBK" w:hint="eastAsia"/>
          <w:color w:val="000000"/>
          <w:sz w:val="32"/>
          <w:szCs w:val="32"/>
        </w:rPr>
        <w:t>中山海关后勤管理中心设3个内设机构：</w:t>
      </w:r>
    </w:p>
    <w:p>
      <w:pPr>
        <w:pStyle w:val="26"/>
        <w:spacing w:line="560" w:lineRule="exact"/>
        <w:ind w:firstLineChars="147" w:firstLine="470"/>
        <w:rPr>
          <w:rFonts w:eastAsia="方正楷体_GBK"/>
          <w:b/>
          <w:color w:val="000000"/>
          <w:sz w:val="32"/>
          <w:szCs w:val="32"/>
        </w:rPr>
      </w:pPr>
      <w:r>
        <w:rPr>
          <w:rFonts w:eastAsia="方正楷体_GBK" w:hint="eastAsia"/>
          <w:b/>
          <w:color w:val="000000"/>
          <w:sz w:val="32"/>
          <w:szCs w:val="32"/>
        </w:rPr>
        <w:t>（一）综合部</w:t>
      </w:r>
    </w:p>
    <w:p>
      <w:pPr>
        <w:pStyle w:val="26"/>
        <w:spacing w:line="560" w:lineRule="exact"/>
        <w:ind w:firstLineChars="147" w:firstLine="470"/>
        <w:rPr>
          <w:rFonts w:eastAsia="方正仿宋_GBK"/>
          <w:color w:val="000000"/>
          <w:sz w:val="32"/>
          <w:szCs w:val="32"/>
        </w:rPr>
      </w:pPr>
      <w:r>
        <w:rPr>
          <w:rFonts w:eastAsia="方正仿宋_GBK" w:hint="eastAsia"/>
          <w:sz w:val="32"/>
          <w:szCs w:val="32"/>
        </w:rPr>
        <w:t>承担本单位综合管理职责；承担本单位公文、机要、信息、外宣、内控及督察督办、安全保卫、后勤保障等工作；承担人力资源管理、聘用考核、教育培训、工资福利、政府采购及不占编合同工管理等工作；承担党的建设、党风廉政建设、党群等工作；承担本单位财务管理工作。</w:t>
      </w:r>
    </w:p>
    <w:p>
      <w:pPr>
        <w:pStyle w:val="26"/>
        <w:spacing w:line="560" w:lineRule="exact"/>
        <w:ind w:firstLineChars="147" w:firstLine="470"/>
        <w:rPr>
          <w:rFonts w:eastAsia="方正楷体_GBK"/>
          <w:b/>
          <w:color w:val="000000"/>
          <w:sz w:val="32"/>
          <w:szCs w:val="32"/>
        </w:rPr>
      </w:pPr>
      <w:r>
        <w:rPr>
          <w:rFonts w:eastAsia="方正楷体_GBK" w:hint="eastAsia"/>
          <w:b/>
          <w:color w:val="000000"/>
          <w:sz w:val="32"/>
          <w:szCs w:val="32"/>
        </w:rPr>
        <w:t>（二）物业资产部</w:t>
      </w:r>
    </w:p>
    <w:p>
      <w:pPr>
        <w:pStyle w:val="26"/>
        <w:spacing w:line="560" w:lineRule="exact"/>
        <w:ind w:firstLineChars="147" w:firstLine="470"/>
        <w:rPr>
          <w:rFonts w:eastAsia="方正仿宋_GBK"/>
          <w:color w:val="000000"/>
          <w:sz w:val="32"/>
          <w:szCs w:val="32"/>
        </w:rPr>
      </w:pPr>
      <w:r>
        <w:rPr>
          <w:rFonts w:eastAsia="方正仿宋_GBK" w:hint="eastAsia"/>
          <w:color w:val="000000"/>
          <w:sz w:val="32"/>
          <w:szCs w:val="32"/>
        </w:rPr>
        <w:t>承担中山片区的房产、居住宿舍小区物业、设施设备使用管理工作；承担公共基建、修缮项目施工工作；承担装备设备、实物资产保管、调配及制服发放等工作。</w:t>
      </w:r>
    </w:p>
    <w:p>
      <w:pPr>
        <w:pStyle w:val="26"/>
        <w:spacing w:line="560" w:lineRule="exact"/>
        <w:ind w:firstLineChars="147" w:firstLine="470"/>
        <w:rPr>
          <w:rFonts w:eastAsia="方正楷体_GBK"/>
          <w:b/>
          <w:color w:val="000000"/>
          <w:sz w:val="32"/>
          <w:szCs w:val="32"/>
        </w:rPr>
      </w:pPr>
      <w:r>
        <w:rPr>
          <w:rFonts w:eastAsia="方正楷体_GBK" w:hint="eastAsia"/>
          <w:b/>
          <w:color w:val="000000"/>
          <w:sz w:val="32"/>
          <w:szCs w:val="32"/>
        </w:rPr>
        <w:t>（三）生活服务部</w:t>
      </w:r>
    </w:p>
    <w:p>
      <w:pPr>
        <w:ind w:firstLineChars="200" w:firstLine="640"/>
        <w:jc w:val="left"/>
        <w:rPr>
          <w:rFonts w:eastAsia="方正仿宋_GBK"/>
          <w:sz w:val="32"/>
          <w:szCs w:val="32"/>
        </w:rPr>
        <w:sectPr>
          <w:footerReference w:type="default" r:id="rId5"/>
          <w:pgSz w:w="11906" w:h="16838"/>
          <w:pgMar w:top="1440" w:right="1797" w:bottom="1440" w:left="1797" w:header="851" w:footer="992" w:gutter="0"/>
          <w:pgNumType w:start="1"/>
          <w:docGrid w:type="linesAndChars" w:linePitch="312" w:charSpace="0"/>
        </w:sectPr>
      </w:pPr>
      <w:r>
        <w:rPr>
          <w:rFonts w:eastAsia="方正仿宋_GBK" w:hint="eastAsia"/>
          <w:color w:val="000000"/>
          <w:sz w:val="32"/>
          <w:szCs w:val="32"/>
        </w:rPr>
        <w:t>承担中山片区的食堂、招待所等机关内部生活服务的管理及重大会议、活动、车辆通勤的服务保障等工作；承担后勤产业综合服务保障运作管理工作。</w:t>
      </w:r>
    </w:p>
    <w:p>
      <w:pPr>
        <w:rPr>
          <w:rFonts w:eastAsia="方正仿宋_GBK"/>
          <w:b/>
          <w:sz w:val="32"/>
          <w:szCs w:val="32"/>
        </w:rPr>
      </w:pPr>
    </w:p>
    <w:p>
      <w:pPr>
        <w:rPr>
          <w:rFonts w:eastAsia="方正仿宋_GBK"/>
          <w:b/>
          <w:sz w:val="32"/>
          <w:szCs w:val="32"/>
        </w:rPr>
      </w:pPr>
    </w:p>
    <w:p>
      <w:pPr>
        <w:rPr>
          <w:rFonts w:eastAsia="方正仿宋_GBK"/>
          <w:b/>
          <w:sz w:val="32"/>
          <w:szCs w:val="32"/>
        </w:rPr>
      </w:pPr>
    </w:p>
    <w:p>
      <w:pPr>
        <w:rPr>
          <w:rFonts w:eastAsia="方正仿宋_GBK"/>
          <w:b/>
          <w:sz w:val="32"/>
          <w:szCs w:val="32"/>
        </w:rPr>
      </w:pPr>
    </w:p>
    <w:p>
      <w:pPr>
        <w:rPr>
          <w:rFonts w:eastAsia="方正仿宋_GBK"/>
          <w:b/>
          <w:sz w:val="32"/>
          <w:szCs w:val="32"/>
        </w:rPr>
      </w:pPr>
    </w:p>
    <w:p>
      <w:pPr>
        <w:rPr>
          <w:rFonts w:eastAsia="方正仿宋_GBK"/>
          <w:b/>
          <w:sz w:val="32"/>
          <w:szCs w:val="32"/>
        </w:rPr>
      </w:pPr>
    </w:p>
    <w:p>
      <w:pPr>
        <w:jc w:val="center"/>
        <w:rPr>
          <w:rFonts w:eastAsia="方正仿宋_GBK"/>
          <w:b/>
          <w:sz w:val="32"/>
          <w:szCs w:val="32"/>
        </w:rPr>
      </w:pPr>
      <w:r>
        <w:rPr>
          <w:rFonts w:eastAsia="方正仿宋_GBK" w:hint="eastAsia"/>
          <w:b/>
          <w:sz w:val="32"/>
          <w:szCs w:val="32"/>
        </w:rPr>
        <w:t xml:space="preserve">第二部分  </w:t>
      </w:r>
    </w:p>
    <w:p>
      <w:pPr>
        <w:ind w:leftChars="-202" w:left="-422" w:rightChars="-227" w:right="-477" w:hanging="2"/>
        <w:jc w:val="center"/>
        <w:rPr>
          <w:b/>
          <w:sz w:val="72"/>
          <w:szCs w:val="72"/>
        </w:rPr>
      </w:pPr>
      <w:r>
        <w:rPr>
          <w:b/>
          <w:sz w:val="72"/>
          <w:szCs w:val="72"/>
        </w:rPr>
        <w:t>中山海关后勤管理中</w:t>
      </w:r>
      <w:r>
        <w:rPr>
          <w:rFonts w:hint="eastAsia"/>
          <w:b/>
          <w:sz w:val="72"/>
          <w:szCs w:val="72"/>
        </w:rPr>
        <w:t>心</w:t>
      </w:r>
    </w:p>
    <w:p>
      <w:pPr>
        <w:ind w:left="-315"/>
        <w:jc w:val="center"/>
        <w:rPr>
          <w:b/>
          <w:sz w:val="72"/>
          <w:szCs w:val="72"/>
        </w:rPr>
        <w:sectPr>
          <w:pgSz w:w="11906" w:h="16838"/>
          <w:pgMar w:top="1440" w:right="1797" w:bottom="1440" w:left="1797" w:header="851" w:footer="992" w:gutter="0"/>
          <w:docGrid w:type="linesAndChars" w:linePitch="312" w:charSpace="0"/>
        </w:sectPr>
      </w:pPr>
      <w:r>
        <w:rPr>
          <w:b/>
          <w:sz w:val="72"/>
          <w:szCs w:val="72"/>
        </w:rPr>
        <w:t>202</w:t>
      </w:r>
      <w:r>
        <w:rPr>
          <w:rFonts w:hint="eastAsia"/>
          <w:b/>
          <w:sz w:val="72"/>
          <w:szCs w:val="72"/>
        </w:rPr>
        <w:t>6</w:t>
      </w:r>
      <w:r>
        <w:rPr>
          <w:b/>
          <w:sz w:val="72"/>
          <w:szCs w:val="72"/>
        </w:rPr>
        <w:t>年预算表</w:t>
      </w:r>
    </w:p>
    <w:tbl>
      <w:tblPr>
        <w:jc w:val="left"/>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3"/>
        <w:gridCol w:w="3532"/>
        <w:gridCol w:w="1267"/>
        <w:gridCol w:w="2729"/>
        <w:gridCol w:w="282"/>
        <w:gridCol w:w="4030"/>
        <w:gridCol w:w="713"/>
        <w:gridCol w:w="2769"/>
        <w:gridCol w:w="198"/>
      </w:tblGrid>
      <w:tr>
        <w:trPr>
          <w:trHeight w:val="170"/>
        </w:trPr>
        <w:tc>
          <w:tcPr>
            <w:tcW w:w="1161" w:type="pct"/>
            <w:gridSpan w:val="2"/>
            <w:tcBorders>
              <w:top w:val="nil"/>
              <w:left w:val="nil"/>
              <w:bottom w:val="nil"/>
              <w:right w:val="nil"/>
            </w:tcBorders>
            <w:noWrap/>
            <w:vAlign w:val="center"/>
          </w:tcPr>
          <w:p>
            <w:pPr>
              <w:rPr>
                <w:rFonts w:ascii="宋体" w:eastAsia="宋体"/>
                <w:sz w:val="20"/>
              </w:rPr>
            </w:pPr>
            <w:bookmarkStart w:id="0" w:name="RANGE!A1:D18"/>
            <w:bookmarkEnd w:id="0"/>
          </w:p>
        </w:tc>
        <w:tc>
          <w:tcPr>
            <w:tcW w:w="1370" w:type="pct"/>
            <w:gridSpan w:val="3"/>
            <w:tcBorders>
              <w:top w:val="nil"/>
              <w:left w:val="nil"/>
              <w:bottom w:val="nil"/>
              <w:right w:val="nil"/>
            </w:tcBorders>
            <w:noWrap/>
            <w:vAlign w:val="center"/>
          </w:tcPr>
          <w:p>
            <w:pPr>
              <w:rPr>
                <w:rFonts w:ascii="宋体" w:eastAsia="宋体"/>
                <w:sz w:val="16"/>
              </w:rPr>
            </w:pPr>
          </w:p>
        </w:tc>
        <w:tc>
          <w:tcPr>
            <w:tcW w:w="1519" w:type="pct"/>
            <w:gridSpan w:val="2"/>
            <w:tcBorders>
              <w:top w:val="nil"/>
              <w:left w:val="nil"/>
              <w:bottom w:val="nil"/>
              <w:right w:val="nil"/>
            </w:tcBorders>
            <w:noWrap/>
            <w:vAlign w:val="center"/>
          </w:tcPr>
          <w:p>
            <w:pPr>
              <w:rPr>
                <w:rFonts w:ascii="宋体" w:eastAsia="宋体"/>
                <w:sz w:val="16"/>
              </w:rPr>
            </w:pPr>
          </w:p>
        </w:tc>
        <w:tc>
          <w:tcPr>
            <w:tcW w:w="950" w:type="pct"/>
            <w:gridSpan w:val="2"/>
            <w:tcBorders>
              <w:top w:val="nil"/>
              <w:left w:val="nil"/>
              <w:bottom w:val="nil"/>
              <w:right w:val="nil"/>
            </w:tcBorders>
            <w:noWrap/>
            <w:vAlign w:val="center"/>
          </w:tcPr>
          <w:p>
            <w:pPr>
              <w:ind w:right="100"/>
              <w:jc w:val="right"/>
              <w:rPr>
                <w:rFonts w:ascii="宋体" w:eastAsia="宋体"/>
                <w:szCs w:val="21"/>
              </w:rPr>
            </w:pPr>
            <w:r>
              <w:rPr>
                <w:rFonts w:ascii="宋体" w:eastAsia="宋体" w:cs="黑体" w:hint="eastAsia"/>
                <w:sz w:val="20"/>
                <w:szCs w:val="20"/>
              </w:rPr>
              <w:t>部门公开表1</w:t>
            </w:r>
          </w:p>
        </w:tc>
      </w:tr>
      <w:tr>
        <w:trPr>
          <w:trHeight w:val="170"/>
        </w:trPr>
        <w:tc>
          <w:tcPr>
            <w:tcW w:w="5000" w:type="pct"/>
            <w:gridSpan w:val="9"/>
            <w:tcBorders>
              <w:top w:val="nil"/>
              <w:left w:val="nil"/>
              <w:bottom w:val="nil"/>
              <w:right w:val="nil"/>
            </w:tcBorders>
            <w:noWrap/>
            <w:vAlign w:val="center"/>
          </w:tcPr>
          <w:p>
            <w:pPr>
              <w:jc w:val="center"/>
              <w:rPr>
                <w:rFonts w:ascii="宋体" w:eastAsia="宋体"/>
                <w:b/>
                <w:color w:val="000000"/>
                <w:sz w:val="36"/>
                <w:szCs w:val="36"/>
              </w:rPr>
            </w:pPr>
            <w:r>
              <w:rPr>
                <w:rFonts w:ascii="宋体" w:eastAsia="宋体" w:hint="eastAsia"/>
                <w:b/>
                <w:color w:val="000000"/>
                <w:sz w:val="36"/>
                <w:szCs w:val="36"/>
              </w:rPr>
              <w:t>部门收支总表</w:t>
            </w:r>
          </w:p>
          <w:p>
            <w:pPr>
              <w:jc w:val="center"/>
              <w:rPr>
                <w:rFonts w:ascii="宋体" w:eastAsia="宋体"/>
                <w:b/>
                <w:color w:val="000000"/>
                <w:sz w:val="36"/>
                <w:szCs w:val="36"/>
              </w:rPr>
            </w:pPr>
            <w:r>
              <w:rPr>
                <w:rFonts w:ascii="宋体" w:eastAsia="宋体" w:hint="eastAsia"/>
                <w:b/>
                <w:color w:val="000000"/>
                <w:sz w:val="36"/>
                <w:szCs w:val="36"/>
              </w:rPr>
              <w:t xml:space="preserve">                                                                         </w:t>
            </w:r>
            <w:r>
              <w:rPr>
                <w:rFonts w:hint="eastAsia"/>
                <w:color w:val="000000"/>
                <w:sz w:val="20"/>
                <w:szCs w:val="20"/>
              </w:rPr>
              <w:t>单位：万元</w:t>
            </w:r>
          </w:p>
        </w:tc>
      </w:tr>
      <w:tr>
        <w:trPr>
          <w:trHeight w:val="375"/>
          <w:gridBefore w:val="1"/>
          <w:wBefore w:w="93" w:type="dxa"/>
          <w:gridAfter w:val="1"/>
          <w:wAfter w:w="198" w:type="dxa"/>
        </w:trPr>
        <w:tc>
          <w:tcPr>
            <w:tcW w:w="241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pPr>
              <w:widowControl/>
              <w:jc w:val="center"/>
              <w:rPr>
                <w:rFonts w:ascii="宋体" w:eastAsia="宋体" w:cs="宋体"/>
                <w:kern w:val="0"/>
                <w:sz w:val="20"/>
                <w:szCs w:val="20"/>
              </w:rPr>
            </w:pPr>
            <w:r>
              <w:rPr>
                <w:rFonts w:ascii="宋体" w:eastAsia="宋体" w:cs="宋体" w:hint="eastAsia"/>
                <w:kern w:val="0"/>
                <w:sz w:val="20"/>
                <w:szCs w:val="20"/>
              </w:rPr>
              <w:t>收      入</w:t>
            </w:r>
          </w:p>
        </w:tc>
        <w:tc>
          <w:tcPr>
            <w:tcW w:w="2496" w:type="pct"/>
            <w:gridSpan w:val="4"/>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eastAsia="宋体" w:cs="宋体"/>
                <w:kern w:val="0"/>
                <w:sz w:val="20"/>
                <w:szCs w:val="20"/>
              </w:rPr>
            </w:pPr>
            <w:r>
              <w:rPr>
                <w:rFonts w:ascii="宋体" w:eastAsia="宋体" w:cs="宋体" w:hint="eastAsia"/>
                <w:kern w:val="0"/>
                <w:sz w:val="20"/>
                <w:szCs w:val="20"/>
              </w:rPr>
              <w:t>支      出</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vAlign w:val="center"/>
          </w:tcPr>
          <w:p>
            <w:pPr>
              <w:widowControl/>
              <w:jc w:val="center"/>
              <w:rPr>
                <w:rFonts w:ascii="宋体" w:eastAsia="宋体" w:cs="宋体"/>
                <w:kern w:val="0"/>
                <w:sz w:val="20"/>
                <w:szCs w:val="20"/>
              </w:rPr>
            </w:pPr>
            <w:r>
              <w:rPr>
                <w:rFonts w:ascii="宋体" w:eastAsia="宋体" w:cs="宋体" w:hint="eastAsia"/>
                <w:kern w:val="0"/>
                <w:sz w:val="20"/>
                <w:szCs w:val="20"/>
              </w:rPr>
              <w:t>项目</w:t>
            </w:r>
          </w:p>
        </w:tc>
        <w:tc>
          <w:tcPr>
            <w:tcW w:w="874" w:type="pct"/>
            <w:tcBorders>
              <w:top w:val="nil"/>
              <w:left w:val="nil"/>
              <w:bottom w:val="single" w:sz="4" w:space="0" w:color="auto"/>
              <w:right w:val="single" w:sz="4" w:space="0" w:color="auto"/>
            </w:tcBorders>
            <w:shd w:val="clear" w:color="000000" w:fill="FFFFFF"/>
            <w:vAlign w:val="center"/>
          </w:tcPr>
          <w:p>
            <w:pPr>
              <w:widowControl/>
              <w:jc w:val="center"/>
              <w:rPr>
                <w:rFonts w:ascii="宋体" w:eastAsia="宋体" w:cs="宋体"/>
                <w:kern w:val="0"/>
                <w:sz w:val="20"/>
                <w:szCs w:val="20"/>
              </w:rPr>
            </w:pPr>
            <w:r>
              <w:rPr>
                <w:rFonts w:ascii="宋体" w:eastAsia="宋体" w:cs="宋体" w:hint="eastAsia"/>
                <w:kern w:val="0"/>
                <w:sz w:val="20"/>
                <w:szCs w:val="20"/>
              </w:rPr>
              <w:t>预算数</w:t>
            </w:r>
          </w:p>
        </w:tc>
        <w:tc>
          <w:tcPr>
            <w:tcW w:w="1381" w:type="pct"/>
            <w:gridSpan w:val="2"/>
            <w:tcBorders>
              <w:top w:val="nil"/>
              <w:left w:val="nil"/>
              <w:bottom w:val="single" w:sz="4" w:space="0" w:color="auto"/>
              <w:right w:val="single" w:sz="4" w:space="0" w:color="auto"/>
            </w:tcBorders>
            <w:shd w:val="clear" w:color="000000" w:fill="FFFFFF"/>
            <w:vAlign w:val="center"/>
          </w:tcPr>
          <w:p>
            <w:pPr>
              <w:widowControl/>
              <w:jc w:val="center"/>
              <w:rPr>
                <w:rFonts w:ascii="宋体" w:eastAsia="宋体" w:cs="宋体"/>
                <w:kern w:val="0"/>
                <w:sz w:val="20"/>
                <w:szCs w:val="20"/>
              </w:rPr>
            </w:pPr>
            <w:r>
              <w:rPr>
                <w:rFonts w:ascii="宋体" w:eastAsia="宋体" w:cs="宋体" w:hint="eastAsia"/>
                <w:kern w:val="0"/>
                <w:sz w:val="20"/>
                <w:szCs w:val="20"/>
              </w:rPr>
              <w:t>项目</w:t>
            </w:r>
          </w:p>
        </w:tc>
        <w:tc>
          <w:tcPr>
            <w:tcW w:w="1115" w:type="pct"/>
            <w:gridSpan w:val="2"/>
            <w:tcBorders>
              <w:top w:val="nil"/>
              <w:left w:val="nil"/>
              <w:bottom w:val="single" w:sz="4" w:space="0" w:color="auto"/>
              <w:right w:val="single" w:sz="4" w:space="0" w:color="auto"/>
            </w:tcBorders>
            <w:shd w:val="clear" w:color="000000" w:fill="FFFFFF"/>
            <w:vAlign w:val="center"/>
          </w:tcPr>
          <w:p>
            <w:pPr>
              <w:widowControl/>
              <w:jc w:val="center"/>
              <w:rPr>
                <w:rFonts w:ascii="宋体" w:eastAsia="宋体" w:cs="宋体"/>
                <w:kern w:val="0"/>
                <w:sz w:val="20"/>
                <w:szCs w:val="20"/>
              </w:rPr>
            </w:pPr>
            <w:r>
              <w:rPr>
                <w:rFonts w:ascii="宋体" w:eastAsia="宋体" w:cs="宋体" w:hint="eastAsia"/>
                <w:kern w:val="0"/>
                <w:sz w:val="20"/>
                <w:szCs w:val="20"/>
              </w:rPr>
              <w:t>预算数</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一、一般公共预算拨款收入</w:t>
            </w:r>
          </w:p>
        </w:tc>
        <w:tc>
          <w:tcPr>
            <w:tcW w:w="874" w:type="pct"/>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177.01</w:t>
            </w:r>
          </w:p>
        </w:tc>
        <w:tc>
          <w:tcPr>
            <w:tcW w:w="1381" w:type="pct"/>
            <w:gridSpan w:val="2"/>
            <w:tcBorders>
              <w:top w:val="nil"/>
              <w:left w:val="nil"/>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一、一般公共服务支出</w:t>
            </w:r>
          </w:p>
        </w:tc>
        <w:tc>
          <w:tcPr>
            <w:tcW w:w="1115" w:type="pct"/>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1,766.10</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二、政府性基金预算拨款收入</w:t>
            </w:r>
          </w:p>
        </w:tc>
        <w:tc>
          <w:tcPr>
            <w:tcW w:w="874" w:type="pct"/>
            <w:tcBorders>
              <w:top w:val="nil"/>
              <w:left w:val="nil"/>
              <w:bottom w:val="single" w:sz="4" w:space="0" w:color="auto"/>
              <w:right w:val="single" w:sz="4" w:space="0" w:color="auto"/>
            </w:tcBorders>
            <w:shd w:val="clear" w:color="000000" w:fill="FFFFFF"/>
            <w:noWrap/>
            <w:vAlign w:val="center"/>
          </w:tcPr>
          <w:p>
            <w:pPr>
              <w:widowControl/>
              <w:ind w:right="100"/>
              <w:jc w:val="right"/>
              <w:rPr>
                <w:rFonts w:ascii="宋体" w:eastAsia="宋体" w:cs="宋体"/>
                <w:kern w:val="0"/>
                <w:sz w:val="20"/>
                <w:szCs w:val="20"/>
              </w:rPr>
            </w:pPr>
          </w:p>
        </w:tc>
        <w:tc>
          <w:tcPr>
            <w:tcW w:w="1381" w:type="pct"/>
            <w:gridSpan w:val="2"/>
            <w:tcBorders>
              <w:top w:val="nil"/>
              <w:left w:val="nil"/>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二、社会保障和就业支出</w:t>
            </w:r>
          </w:p>
        </w:tc>
        <w:tc>
          <w:tcPr>
            <w:tcW w:w="1115" w:type="pct"/>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90.61</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三、国有资本经营预算拨款收入</w:t>
            </w:r>
          </w:p>
        </w:tc>
        <w:tc>
          <w:tcPr>
            <w:tcW w:w="874" w:type="pct"/>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　</w:t>
            </w:r>
          </w:p>
        </w:tc>
        <w:tc>
          <w:tcPr>
            <w:tcW w:w="1381" w:type="pct"/>
            <w:gridSpan w:val="2"/>
            <w:tcBorders>
              <w:top w:val="nil"/>
              <w:left w:val="nil"/>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三、卫生健康支出</w:t>
            </w:r>
          </w:p>
        </w:tc>
        <w:tc>
          <w:tcPr>
            <w:tcW w:w="1115" w:type="pct"/>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23.37</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四、事业收入</w:t>
            </w:r>
          </w:p>
        </w:tc>
        <w:tc>
          <w:tcPr>
            <w:tcW w:w="874" w:type="pct"/>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993.40</w:t>
            </w:r>
          </w:p>
        </w:tc>
        <w:tc>
          <w:tcPr>
            <w:tcW w:w="1381" w:type="pct"/>
            <w:gridSpan w:val="2"/>
            <w:tcBorders>
              <w:top w:val="nil"/>
              <w:left w:val="nil"/>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四、住房保障支出</w:t>
            </w:r>
          </w:p>
        </w:tc>
        <w:tc>
          <w:tcPr>
            <w:tcW w:w="1115" w:type="pct"/>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201.29</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五、事业单位经营收入</w:t>
            </w:r>
          </w:p>
        </w:tc>
        <w:tc>
          <w:tcPr>
            <w:tcW w:w="874" w:type="pct"/>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　</w:t>
            </w:r>
          </w:p>
        </w:tc>
        <w:tc>
          <w:tcPr>
            <w:tcW w:w="1381" w:type="pct"/>
            <w:gridSpan w:val="2"/>
            <w:tcBorders>
              <w:top w:val="nil"/>
              <w:left w:val="nil"/>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　</w:t>
            </w:r>
          </w:p>
        </w:tc>
        <w:tc>
          <w:tcPr>
            <w:tcW w:w="1115" w:type="pct"/>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　</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六、其他收入</w:t>
            </w:r>
          </w:p>
        </w:tc>
        <w:tc>
          <w:tcPr>
            <w:tcW w:w="874" w:type="pct"/>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760.50</w:t>
            </w:r>
          </w:p>
        </w:tc>
        <w:tc>
          <w:tcPr>
            <w:tcW w:w="1381" w:type="pct"/>
            <w:gridSpan w:val="2"/>
            <w:tcBorders>
              <w:top w:val="nil"/>
              <w:left w:val="nil"/>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　</w:t>
            </w:r>
          </w:p>
        </w:tc>
        <w:tc>
          <w:tcPr>
            <w:tcW w:w="1115" w:type="pct"/>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　</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　</w:t>
            </w:r>
          </w:p>
        </w:tc>
        <w:tc>
          <w:tcPr>
            <w:tcW w:w="874" w:type="pct"/>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　</w:t>
            </w:r>
          </w:p>
        </w:tc>
        <w:tc>
          <w:tcPr>
            <w:tcW w:w="1381" w:type="pct"/>
            <w:gridSpan w:val="2"/>
            <w:tcBorders>
              <w:top w:val="nil"/>
              <w:left w:val="nil"/>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　</w:t>
            </w:r>
          </w:p>
        </w:tc>
        <w:tc>
          <w:tcPr>
            <w:tcW w:w="1115" w:type="pct"/>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　</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noWrap/>
            <w:vAlign w:val="center"/>
          </w:tcPr>
          <w:p>
            <w:pPr>
              <w:widowControl/>
              <w:jc w:val="center"/>
              <w:rPr>
                <w:rFonts w:ascii="宋体" w:eastAsia="宋体" w:cs="宋体"/>
                <w:kern w:val="0"/>
                <w:sz w:val="20"/>
                <w:szCs w:val="20"/>
              </w:rPr>
            </w:pPr>
            <w:r>
              <w:rPr>
                <w:rFonts w:ascii="宋体" w:eastAsia="宋体" w:cs="宋体" w:hint="eastAsia"/>
                <w:kern w:val="0"/>
                <w:sz w:val="20"/>
                <w:szCs w:val="20"/>
              </w:rPr>
              <w:t>本年收入合计</w:t>
            </w:r>
          </w:p>
        </w:tc>
        <w:tc>
          <w:tcPr>
            <w:tcW w:w="874" w:type="pct"/>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1,930.91</w:t>
            </w:r>
          </w:p>
        </w:tc>
        <w:tc>
          <w:tcPr>
            <w:tcW w:w="1381" w:type="pct"/>
            <w:gridSpan w:val="2"/>
            <w:tcBorders>
              <w:top w:val="nil"/>
              <w:left w:val="nil"/>
              <w:bottom w:val="single" w:sz="4" w:space="0" w:color="auto"/>
              <w:right w:val="single" w:sz="4" w:space="0" w:color="auto"/>
            </w:tcBorders>
            <w:shd w:val="clear" w:color="000000" w:fill="FFFFFF"/>
            <w:noWrap/>
            <w:vAlign w:val="center"/>
          </w:tcPr>
          <w:p>
            <w:pPr>
              <w:widowControl/>
              <w:jc w:val="center"/>
              <w:rPr>
                <w:rFonts w:ascii="宋体" w:eastAsia="宋体" w:cs="宋体"/>
                <w:kern w:val="0"/>
                <w:sz w:val="20"/>
                <w:szCs w:val="20"/>
              </w:rPr>
            </w:pPr>
            <w:r>
              <w:rPr>
                <w:rFonts w:ascii="宋体" w:eastAsia="宋体" w:cs="宋体" w:hint="eastAsia"/>
                <w:kern w:val="0"/>
                <w:sz w:val="20"/>
                <w:szCs w:val="20"/>
              </w:rPr>
              <w:t>本年支出合计</w:t>
            </w:r>
          </w:p>
        </w:tc>
        <w:tc>
          <w:tcPr>
            <w:tcW w:w="1115" w:type="pct"/>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2,081.37</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使用非财政拨款结余</w:t>
            </w:r>
          </w:p>
        </w:tc>
        <w:tc>
          <w:tcPr>
            <w:tcW w:w="874" w:type="pct"/>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150.46</w:t>
            </w:r>
          </w:p>
        </w:tc>
        <w:tc>
          <w:tcPr>
            <w:tcW w:w="1381" w:type="pct"/>
            <w:gridSpan w:val="2"/>
            <w:tcBorders>
              <w:top w:val="nil"/>
              <w:left w:val="nil"/>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结转下年（非财政拨款）</w:t>
            </w:r>
          </w:p>
        </w:tc>
        <w:tc>
          <w:tcPr>
            <w:tcW w:w="1115" w:type="pct"/>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　</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上年结转</w:t>
            </w:r>
          </w:p>
        </w:tc>
        <w:tc>
          <w:tcPr>
            <w:tcW w:w="874" w:type="pct"/>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　</w:t>
            </w:r>
          </w:p>
        </w:tc>
        <w:tc>
          <w:tcPr>
            <w:tcW w:w="1381" w:type="pct"/>
            <w:gridSpan w:val="2"/>
            <w:tcBorders>
              <w:top w:val="nil"/>
              <w:left w:val="nil"/>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　</w:t>
            </w:r>
          </w:p>
        </w:tc>
        <w:tc>
          <w:tcPr>
            <w:tcW w:w="1115" w:type="pct"/>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　</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　</w:t>
            </w:r>
          </w:p>
        </w:tc>
        <w:tc>
          <w:tcPr>
            <w:tcW w:w="874" w:type="pct"/>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　</w:t>
            </w:r>
          </w:p>
        </w:tc>
        <w:tc>
          <w:tcPr>
            <w:tcW w:w="1381" w:type="pct"/>
            <w:gridSpan w:val="2"/>
            <w:tcBorders>
              <w:top w:val="nil"/>
              <w:left w:val="nil"/>
              <w:bottom w:val="single" w:sz="4" w:space="0" w:color="auto"/>
              <w:right w:val="single" w:sz="4" w:space="0" w:color="auto"/>
            </w:tcBorders>
            <w:shd w:val="clear" w:color="000000" w:fill="FFFFFF"/>
            <w:noWrap/>
            <w:vAlign w:val="center"/>
          </w:tcPr>
          <w:p>
            <w:pPr>
              <w:widowControl/>
              <w:jc w:val="left"/>
              <w:rPr>
                <w:rFonts w:ascii="宋体" w:eastAsia="宋体" w:cs="宋体"/>
                <w:kern w:val="0"/>
                <w:sz w:val="20"/>
                <w:szCs w:val="20"/>
              </w:rPr>
            </w:pPr>
            <w:r>
              <w:rPr>
                <w:rFonts w:ascii="宋体" w:eastAsia="宋体" w:cs="宋体" w:hint="eastAsia"/>
                <w:kern w:val="0"/>
                <w:sz w:val="20"/>
                <w:szCs w:val="20"/>
              </w:rPr>
              <w:t>　</w:t>
            </w:r>
          </w:p>
        </w:tc>
        <w:tc>
          <w:tcPr>
            <w:tcW w:w="1115" w:type="pct"/>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　</w:t>
            </w:r>
          </w:p>
        </w:tc>
      </w:tr>
      <w:tr>
        <w:trPr>
          <w:trHeight w:val="375"/>
          <w:gridBefore w:val="1"/>
          <w:wBefore w:w="93" w:type="dxa"/>
          <w:gridAfter w:val="1"/>
          <w:wAfter w:w="198" w:type="dxa"/>
        </w:trPr>
        <w:tc>
          <w:tcPr>
            <w:tcW w:w="1537" w:type="pct"/>
            <w:gridSpan w:val="2"/>
            <w:tcBorders>
              <w:top w:val="nil"/>
              <w:left w:val="single" w:sz="4" w:space="0" w:color="auto"/>
              <w:bottom w:val="single" w:sz="4" w:space="0" w:color="auto"/>
              <w:right w:val="single" w:sz="4" w:space="0" w:color="auto"/>
            </w:tcBorders>
            <w:shd w:val="clear" w:color="000000" w:fill="FFFFFF"/>
            <w:noWrap/>
            <w:vAlign w:val="center"/>
          </w:tcPr>
          <w:p>
            <w:pPr>
              <w:widowControl/>
              <w:jc w:val="center"/>
              <w:rPr>
                <w:rFonts w:ascii="宋体" w:eastAsia="宋体" w:cs="宋体"/>
                <w:kern w:val="0"/>
                <w:sz w:val="20"/>
                <w:szCs w:val="20"/>
              </w:rPr>
            </w:pPr>
            <w:r>
              <w:rPr>
                <w:rFonts w:ascii="宋体" w:eastAsia="宋体" w:cs="宋体" w:hint="eastAsia"/>
                <w:kern w:val="0"/>
                <w:sz w:val="20"/>
                <w:szCs w:val="20"/>
              </w:rPr>
              <w:t>收    入    总    计</w:t>
            </w:r>
          </w:p>
        </w:tc>
        <w:tc>
          <w:tcPr>
            <w:tcW w:w="874" w:type="pct"/>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2,081.37</w:t>
            </w:r>
          </w:p>
        </w:tc>
        <w:tc>
          <w:tcPr>
            <w:tcW w:w="1381" w:type="pct"/>
            <w:gridSpan w:val="2"/>
            <w:tcBorders>
              <w:top w:val="nil"/>
              <w:left w:val="nil"/>
              <w:bottom w:val="single" w:sz="4" w:space="0" w:color="auto"/>
              <w:right w:val="single" w:sz="4" w:space="0" w:color="auto"/>
            </w:tcBorders>
            <w:shd w:val="clear" w:color="000000" w:fill="FFFFFF"/>
            <w:noWrap/>
            <w:vAlign w:val="center"/>
          </w:tcPr>
          <w:p>
            <w:pPr>
              <w:widowControl/>
              <w:jc w:val="center"/>
              <w:rPr>
                <w:rFonts w:ascii="宋体" w:eastAsia="宋体" w:cs="宋体"/>
                <w:kern w:val="0"/>
                <w:sz w:val="20"/>
                <w:szCs w:val="20"/>
              </w:rPr>
            </w:pPr>
            <w:r>
              <w:rPr>
                <w:rFonts w:ascii="宋体" w:eastAsia="宋体" w:cs="宋体" w:hint="eastAsia"/>
                <w:kern w:val="0"/>
                <w:sz w:val="20"/>
                <w:szCs w:val="20"/>
              </w:rPr>
              <w:t>支    出    总    计</w:t>
            </w:r>
          </w:p>
        </w:tc>
        <w:tc>
          <w:tcPr>
            <w:tcW w:w="1115" w:type="pct"/>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eastAsia="宋体" w:cs="宋体"/>
                <w:kern w:val="0"/>
                <w:sz w:val="20"/>
                <w:szCs w:val="20"/>
              </w:rPr>
            </w:pPr>
            <w:r>
              <w:rPr>
                <w:rFonts w:ascii="宋体" w:eastAsia="宋体" w:cs="宋体" w:hint="eastAsia"/>
                <w:kern w:val="0"/>
                <w:sz w:val="20"/>
                <w:szCs w:val="20"/>
              </w:rPr>
              <w:t>2,081.37</w:t>
            </w:r>
          </w:p>
        </w:tc>
      </w:tr>
    </w:tbl>
    <w:p>
      <w:r>
        <w:rPr>
          <w:rFonts w:hint="eastAsia"/>
          <w:sz w:val="20"/>
          <w:szCs w:val="20"/>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06"/>
        <w:gridCol w:w="1705"/>
        <w:gridCol w:w="1705"/>
        <w:gridCol w:w="10498"/>
      </w:tblGrid>
      <w:tr>
        <w:trPr>
          <w:trHeight w:val="170"/>
        </w:trPr>
        <w:tc>
          <w:tcPr>
            <w:tcW w:w="1706" w:type="dxa"/>
            <w:tcBorders>
              <w:top w:val="nil"/>
              <w:left w:val="nil"/>
              <w:bottom w:val="nil"/>
              <w:right w:val="nil"/>
            </w:tcBorders>
            <w:noWrap/>
            <w:vAlign w:val="center"/>
          </w:tcPr>
          <w:p>
            <w:pPr>
              <w:rPr>
                <w:sz w:val="20"/>
              </w:rPr>
            </w:pPr>
          </w:p>
        </w:tc>
        <w:tc>
          <w:tcPr>
            <w:tcW w:w="1705" w:type="dxa"/>
            <w:tcBorders>
              <w:top w:val="nil"/>
              <w:left w:val="nil"/>
              <w:bottom w:val="nil"/>
              <w:right w:val="nil"/>
            </w:tcBorders>
            <w:noWrap/>
            <w:vAlign w:val="center"/>
          </w:tcPr>
          <w:p>
            <w:pPr>
              <w:rPr>
                <w:sz w:val="16"/>
              </w:rPr>
            </w:pPr>
          </w:p>
        </w:tc>
        <w:tc>
          <w:tcPr>
            <w:tcW w:w="1705" w:type="dxa"/>
            <w:tcBorders>
              <w:top w:val="nil"/>
              <w:left w:val="nil"/>
              <w:bottom w:val="nil"/>
              <w:right w:val="nil"/>
            </w:tcBorders>
            <w:noWrap/>
            <w:vAlign w:val="center"/>
          </w:tcPr>
          <w:p>
            <w:pPr>
              <w:rPr>
                <w:sz w:val="16"/>
              </w:rPr>
            </w:pPr>
          </w:p>
        </w:tc>
        <w:tc>
          <w:tcPr>
            <w:tcW w:w="10498" w:type="dxa"/>
            <w:tcBorders>
              <w:top w:val="nil"/>
              <w:left w:val="nil"/>
              <w:bottom w:val="nil"/>
              <w:right w:val="nil"/>
            </w:tcBorders>
            <w:noWrap/>
            <w:vAlign w:val="center"/>
          </w:tcPr>
          <w:p>
            <w:pPr>
              <w:jc w:val="right"/>
              <w:rPr>
                <w:szCs w:val="21"/>
              </w:rPr>
            </w:pPr>
            <w:r>
              <w:rPr>
                <w:rFonts w:eastAsia="黑体" w:cs="黑体" w:hint="eastAsia"/>
                <w:sz w:val="20"/>
                <w:szCs w:val="20"/>
              </w:rPr>
              <w:t>部门公开表2</w:t>
            </w:r>
          </w:p>
        </w:tc>
      </w:tr>
    </w:tbl>
    <w:p>
      <w:pPr>
        <w:jc w:val="center"/>
        <w:rPr>
          <w:rFonts w:cs="Microsoft JhengHei"/>
          <w:sz w:val="28"/>
          <w:szCs w:val="28"/>
        </w:rPr>
      </w:pPr>
      <w:r>
        <w:rPr>
          <w:rFonts w:cs="Microsoft JhengHei" w:hint="eastAsia"/>
          <w:b/>
          <w:snapToGrid w:val="0"/>
          <w:color w:val="000000"/>
          <w:sz w:val="36"/>
          <w:szCs w:val="36"/>
        </w:rPr>
        <w:t>部门收入总表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3"/>
        <w:gridCol w:w="1060"/>
        <w:gridCol w:w="1257"/>
        <w:gridCol w:w="183"/>
        <w:gridCol w:w="1400"/>
        <w:gridCol w:w="1280"/>
        <w:gridCol w:w="1120"/>
        <w:gridCol w:w="1795"/>
        <w:gridCol w:w="1701"/>
        <w:gridCol w:w="992"/>
        <w:gridCol w:w="1843"/>
        <w:gridCol w:w="1559"/>
        <w:gridCol w:w="1333"/>
      </w:tblGrid>
      <w:tr>
        <w:trPr>
          <w:trHeight w:hRule="exact" w:val="509"/>
        </w:trPr>
        <w:tc>
          <w:tcPr>
            <w:tcW w:w="2410" w:type="dxa"/>
            <w:gridSpan w:val="3"/>
            <w:tcBorders>
              <w:top w:val="nil"/>
              <w:left w:val="nil"/>
              <w:bottom w:val="nil"/>
              <w:right w:val="nil"/>
            </w:tcBorders>
            <w:noWrap/>
            <w:vAlign w:val="center"/>
          </w:tcPr>
          <w:p/>
          <w:p/>
        </w:tc>
        <w:tc>
          <w:tcPr>
            <w:tcW w:w="13206" w:type="dxa"/>
            <w:gridSpan w:val="10"/>
            <w:tcBorders>
              <w:top w:val="nil"/>
              <w:left w:val="nil"/>
              <w:bottom w:val="nil"/>
              <w:right w:val="nil"/>
            </w:tcBorders>
            <w:noWrap/>
            <w:vAlign w:val="center"/>
          </w:tcPr>
          <w:p>
            <w:pPr>
              <w:jc w:val="right"/>
              <w:rPr>
                <w:color w:val="000000"/>
                <w:szCs w:val="21"/>
              </w:rPr>
            </w:pPr>
            <w:r>
              <w:rPr>
                <w:rFonts w:hint="eastAsia"/>
                <w:color w:val="000000"/>
                <w:sz w:val="20"/>
                <w:szCs w:val="20"/>
              </w:rPr>
              <w:t>单位：万元</w:t>
            </w:r>
          </w:p>
        </w:tc>
      </w:tr>
      <w:tr>
        <w:trPr>
          <w:trHeight w:val="360"/>
          <w:gridBefore w:val="1"/>
          <w:wBefore w:w="93" w:type="dxa"/>
        </w:trPr>
        <w:tc>
          <w:tcPr>
            <w:tcW w:w="10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单位名称</w:t>
            </w:r>
          </w:p>
        </w:tc>
        <w:tc>
          <w:tcPr>
            <w:tcW w:w="144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合计</w:t>
            </w:r>
          </w:p>
        </w:tc>
        <w:tc>
          <w:tcPr>
            <w:tcW w:w="1400" w:type="dxa"/>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上年结转</w:t>
            </w:r>
          </w:p>
        </w:tc>
        <w:tc>
          <w:tcPr>
            <w:tcW w:w="10290" w:type="dxa"/>
            <w:gridSpan w:val="7"/>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本年收入</w:t>
            </w:r>
          </w:p>
        </w:tc>
        <w:tc>
          <w:tcPr>
            <w:tcW w:w="13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使用非财政拨款结余</w:t>
            </w:r>
          </w:p>
        </w:tc>
      </w:tr>
      <w:tr>
        <w:trPr>
          <w:trHeight w:val="360"/>
          <w:gridBefore w:val="1"/>
          <w:wBefore w:w="93" w:type="dxa"/>
        </w:trPr>
        <w:tc>
          <w:tcPr>
            <w:tcW w:w="1060" w:type="dxa"/>
            <w:vMerge/>
            <w:tcBorders>
              <w:top w:val="single" w:sz="4" w:space="0" w:color="auto"/>
              <w:left w:val="single" w:sz="4" w:space="0" w:color="auto"/>
              <w:bottom w:val="single" w:sz="4" w:space="0" w:color="auto"/>
              <w:right w:val="single" w:sz="4" w:space="0" w:color="auto"/>
            </w:tcBorders>
            <w:vAlign w:val="center"/>
          </w:tcPr>
          <w:p/>
        </w:tc>
        <w:tc>
          <w:tcPr>
            <w:tcW w:w="1440" w:type="dxa"/>
            <w:gridSpan w:val="2"/>
            <w:vMerge/>
            <w:tcBorders>
              <w:top w:val="single" w:sz="4" w:space="0" w:color="auto"/>
              <w:left w:val="single" w:sz="4" w:space="0" w:color="auto"/>
              <w:bottom w:val="single" w:sz="4" w:space="0" w:color="auto"/>
              <w:right w:val="single" w:sz="4" w:space="0" w:color="auto"/>
            </w:tcBorders>
            <w:vAlign w:val="center"/>
          </w:tcPr>
          <w:p/>
        </w:tc>
        <w:tc>
          <w:tcPr>
            <w:tcW w:w="1400" w:type="dxa"/>
            <w:vMerge w:val="restart"/>
            <w:tcBorders>
              <w:top w:val="nil"/>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小计</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小计</w:t>
            </w:r>
          </w:p>
        </w:tc>
        <w:tc>
          <w:tcPr>
            <w:tcW w:w="1120" w:type="dxa"/>
            <w:vMerge w:val="restart"/>
            <w:tcBorders>
              <w:top w:val="nil"/>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一般公共预算拨款</w:t>
            </w:r>
          </w:p>
        </w:tc>
        <w:tc>
          <w:tcPr>
            <w:tcW w:w="1795" w:type="dxa"/>
            <w:vMerge w:val="restart"/>
            <w:tcBorders>
              <w:top w:val="nil"/>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政府性基金预算拨款</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国有资本经营预算拨款</w:t>
            </w:r>
          </w:p>
        </w:tc>
        <w:tc>
          <w:tcPr>
            <w:tcW w:w="2835" w:type="dxa"/>
            <w:gridSpan w:val="2"/>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事业收入</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其他收入</w:t>
            </w:r>
          </w:p>
        </w:tc>
        <w:tc>
          <w:tcPr>
            <w:tcW w:w="1333" w:type="dxa"/>
            <w:vMerge/>
            <w:tcBorders>
              <w:top w:val="single" w:sz="4" w:space="0" w:color="auto"/>
              <w:left w:val="single" w:sz="4" w:space="0" w:color="auto"/>
              <w:bottom w:val="single" w:sz="4" w:space="0" w:color="auto"/>
              <w:right w:val="single" w:sz="4" w:space="0" w:color="auto"/>
            </w:tcBorders>
            <w:vAlign w:val="center"/>
          </w:tcPr>
          <w:p/>
        </w:tc>
      </w:tr>
      <w:tr>
        <w:trPr>
          <w:trHeight w:val="540"/>
          <w:gridBefore w:val="1"/>
          <w:wBefore w:w="93" w:type="dxa"/>
        </w:trPr>
        <w:tc>
          <w:tcPr>
            <w:tcW w:w="1060" w:type="dxa"/>
            <w:vMerge/>
            <w:tcBorders>
              <w:top w:val="single" w:sz="4" w:space="0" w:color="auto"/>
              <w:left w:val="single" w:sz="4" w:space="0" w:color="auto"/>
              <w:bottom w:val="single" w:sz="4" w:space="0" w:color="auto"/>
              <w:right w:val="single" w:sz="4" w:space="0" w:color="auto"/>
            </w:tcBorders>
            <w:vAlign w:val="center"/>
          </w:tcPr>
          <w:p/>
        </w:tc>
        <w:tc>
          <w:tcPr>
            <w:tcW w:w="1440" w:type="dxa"/>
            <w:gridSpan w:val="2"/>
            <w:vMerge/>
            <w:tcBorders>
              <w:top w:val="single" w:sz="4" w:space="0" w:color="auto"/>
              <w:left w:val="single" w:sz="4" w:space="0" w:color="auto"/>
              <w:bottom w:val="single" w:sz="4" w:space="0" w:color="auto"/>
              <w:right w:val="single" w:sz="4" w:space="0" w:color="auto"/>
            </w:tcBorders>
            <w:vAlign w:val="center"/>
          </w:tcPr>
          <w:p/>
        </w:tc>
        <w:tc>
          <w:tcPr>
            <w:tcW w:w="1400" w:type="dxa"/>
            <w:vMerge/>
            <w:tcBorders>
              <w:top w:val="nil"/>
              <w:left w:val="single" w:sz="4" w:space="0" w:color="auto"/>
              <w:bottom w:val="single" w:sz="4" w:space="0" w:color="auto"/>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120" w:type="dxa"/>
            <w:vMerge/>
            <w:tcBorders>
              <w:top w:val="nil"/>
              <w:left w:val="single" w:sz="4" w:space="0" w:color="auto"/>
              <w:bottom w:val="single" w:sz="4" w:space="0" w:color="auto"/>
              <w:right w:val="single" w:sz="4" w:space="0" w:color="auto"/>
            </w:tcBorders>
            <w:vAlign w:val="center"/>
          </w:tcPr>
          <w:p/>
        </w:tc>
        <w:tc>
          <w:tcPr>
            <w:tcW w:w="1795" w:type="dxa"/>
            <w:vMerge/>
            <w:tcBorders>
              <w:top w:val="nil"/>
              <w:left w:val="single" w:sz="4" w:space="0" w:color="auto"/>
              <w:bottom w:val="single" w:sz="4" w:space="0" w:color="auto"/>
              <w:right w:val="single" w:sz="4" w:space="0" w:color="auto"/>
            </w:tcBorders>
            <w:vAlign w:val="center"/>
          </w:tcPr>
          <w:p/>
        </w:tc>
        <w:tc>
          <w:tcPr>
            <w:tcW w:w="1701" w:type="dxa"/>
            <w:vMerge/>
            <w:tcBorders>
              <w:top w:val="nil"/>
              <w:left w:val="single" w:sz="4" w:space="0" w:color="auto"/>
              <w:bottom w:val="single" w:sz="4" w:space="0" w:color="auto"/>
              <w:right w:val="single" w:sz="4" w:space="0" w:color="auto"/>
            </w:tcBorders>
            <w:vAlign w:val="center"/>
          </w:tcPr>
          <w:p/>
        </w:tc>
        <w:tc>
          <w:tcPr>
            <w:tcW w:w="992" w:type="dxa"/>
            <w:tcBorders>
              <w:top w:val="nil"/>
              <w:left w:val="nil"/>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金额</w:t>
            </w:r>
          </w:p>
        </w:tc>
        <w:tc>
          <w:tcPr>
            <w:tcW w:w="1843" w:type="dxa"/>
            <w:tcBorders>
              <w:top w:val="nil"/>
              <w:left w:val="nil"/>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其中：财政专户管理资金</w:t>
            </w:r>
          </w:p>
        </w:tc>
        <w:tc>
          <w:tcPr>
            <w:tcW w:w="1559" w:type="dxa"/>
            <w:vMerge/>
            <w:tcBorders>
              <w:top w:val="nil"/>
              <w:left w:val="single" w:sz="4" w:space="0" w:color="auto"/>
              <w:bottom w:val="single" w:sz="4" w:space="0" w:color="auto"/>
              <w:right w:val="single" w:sz="4" w:space="0" w:color="auto"/>
            </w:tcBorders>
            <w:vAlign w:val="center"/>
          </w:tcPr>
          <w:p/>
        </w:tc>
        <w:tc>
          <w:tcPr>
            <w:tcW w:w="1333" w:type="dxa"/>
            <w:vMerge/>
            <w:tcBorders>
              <w:top w:val="single" w:sz="4" w:space="0" w:color="auto"/>
              <w:left w:val="single" w:sz="4" w:space="0" w:color="auto"/>
              <w:bottom w:val="single" w:sz="4" w:space="0" w:color="auto"/>
              <w:right w:val="single" w:sz="4" w:space="0" w:color="auto"/>
            </w:tcBorders>
            <w:vAlign w:val="center"/>
          </w:tcPr>
          <w:p/>
        </w:tc>
      </w:tr>
      <w:tr>
        <w:trPr>
          <w:trHeight w:val="675"/>
          <w:gridBefore w:val="1"/>
          <w:wBefore w:w="93" w:type="dxa"/>
        </w:trPr>
        <w:tc>
          <w:tcPr>
            <w:tcW w:w="1060" w:type="dxa"/>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中山海关后勤管理中心</w:t>
            </w:r>
          </w:p>
        </w:tc>
        <w:tc>
          <w:tcPr>
            <w:tcW w:w="1440" w:type="dxa"/>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2,081.37</w:t>
            </w:r>
          </w:p>
        </w:tc>
        <w:tc>
          <w:tcPr>
            <w:tcW w:w="140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128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1,930.91</w:t>
            </w:r>
          </w:p>
        </w:tc>
        <w:tc>
          <w:tcPr>
            <w:tcW w:w="112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177.01</w:t>
            </w:r>
          </w:p>
        </w:tc>
        <w:tc>
          <w:tcPr>
            <w:tcW w:w="1795"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1701"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992"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993.40</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155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760.50</w:t>
            </w:r>
          </w:p>
        </w:tc>
        <w:tc>
          <w:tcPr>
            <w:tcW w:w="133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150.46</w:t>
            </w:r>
          </w:p>
        </w:tc>
      </w:tr>
      <w:tr>
        <w:trPr>
          <w:trHeight w:val="675"/>
          <w:gridBefore w:val="1"/>
          <w:wBefore w:w="93" w:type="dxa"/>
        </w:trPr>
        <w:tc>
          <w:tcPr>
            <w:tcW w:w="1060" w:type="dxa"/>
            <w:tcBorders>
              <w:top w:val="nil"/>
              <w:left w:val="single" w:sz="4" w:space="0" w:color="auto"/>
              <w:bottom w:val="single" w:sz="4" w:space="0" w:color="auto"/>
              <w:right w:val="single" w:sz="4" w:space="0" w:color="auto"/>
            </w:tcBorders>
            <w:shd w:val="clear" w:color="000000" w:fill="FFFFFF"/>
            <w:noWrap/>
            <w:vAlign w:val="center"/>
          </w:tcPr>
          <w:p>
            <w:pPr>
              <w:widowControl/>
              <w:jc w:val="center"/>
              <w:rPr>
                <w:rFonts w:ascii="宋体" w:cs="宋体"/>
                <w:kern w:val="0"/>
                <w:sz w:val="15"/>
                <w:szCs w:val="15"/>
              </w:rPr>
            </w:pPr>
            <w:r>
              <w:rPr>
                <w:rFonts w:ascii="宋体" w:cs="宋体" w:hint="eastAsia"/>
                <w:kern w:val="0"/>
                <w:sz w:val="15"/>
                <w:szCs w:val="15"/>
              </w:rPr>
              <w:t>合计</w:t>
            </w:r>
          </w:p>
        </w:tc>
        <w:tc>
          <w:tcPr>
            <w:tcW w:w="1440" w:type="dxa"/>
            <w:gridSpan w:val="2"/>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2,081.37</w:t>
            </w:r>
          </w:p>
        </w:tc>
        <w:tc>
          <w:tcPr>
            <w:tcW w:w="140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128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1,930.91</w:t>
            </w:r>
          </w:p>
        </w:tc>
        <w:tc>
          <w:tcPr>
            <w:tcW w:w="112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177.01</w:t>
            </w:r>
          </w:p>
        </w:tc>
        <w:tc>
          <w:tcPr>
            <w:tcW w:w="1795"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1701"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992"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993.40</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155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760.50</w:t>
            </w:r>
          </w:p>
        </w:tc>
        <w:tc>
          <w:tcPr>
            <w:tcW w:w="133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150.46</w:t>
            </w:r>
          </w:p>
        </w:tc>
      </w:tr>
    </w:tbl>
    <w:p>
      <w:pPr>
        <w:spacing w:line="94" w:lineRule="auto"/>
        <w:rPr>
          <w:sz w:val="2"/>
        </w:rPr>
      </w:pPr>
    </w:p>
    <w:p>
      <w:pPr>
        <w:sectPr>
          <w:footerReference w:type="default" r:id="rId6"/>
          <w:pgSz w:w="16840" w:h="11907"/>
          <w:pgMar w:top="907" w:right="720" w:bottom="680" w:left="720" w:header="0" w:footer="0" w:gutter="0"/>
          <w:docGrid w:linePitch="285" w:charSpace="0"/>
        </w:sectPr>
      </w:pPr>
    </w:p>
    <w:p>
      <w:pPr>
        <w:jc w:val="right"/>
        <w:rPr>
          <w:rFonts w:eastAsia="方正黑体_GBK" w:cs="方正黑体_GBK"/>
          <w:sz w:val="20"/>
          <w:szCs w:val="20"/>
        </w:rPr>
      </w:pPr>
      <w:r>
        <w:rPr>
          <w:rFonts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spacing w:before="49" w:line="180" w:lineRule="auto"/>
        <w:ind w:firstLine="9999"/>
        <w:rPr>
          <w:rFonts w:cs="Microsoft JhengHei"/>
          <w:sz w:val="20"/>
          <w:szCs w:val="20"/>
        </w:rPr>
      </w:pPr>
      <w:r>
        <w:rPr>
          <w:rFonts w:cs="Microsoft JhengHei" w:hint="eastAsia"/>
          <w:spacing w:val="-2"/>
          <w:sz w:val="20"/>
          <w:szCs w:val="20"/>
        </w:rPr>
        <w:t>单位：万元</w:t>
      </w:r>
    </w:p>
    <w:p>
      <w:pPr>
        <w:spacing w:line="125" w:lineRule="auto"/>
        <w:rPr>
          <w:sz w:val="2"/>
        </w:rPr>
      </w:pPr>
    </w:p>
    <w:tbl>
      <w:tblPr>
        <w:jc w:val="left"/>
        <w:tblInd w:w="9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41"/>
        <w:gridCol w:w="2916"/>
        <w:gridCol w:w="825"/>
        <w:gridCol w:w="856"/>
        <w:gridCol w:w="856"/>
        <w:gridCol w:w="1176"/>
        <w:gridCol w:w="1496"/>
        <w:gridCol w:w="1656"/>
      </w:tblGrid>
      <w:tr>
        <w:trPr>
          <w:trHeight w:val="375"/>
        </w:trPr>
        <w:tc>
          <w:tcPr>
            <w:tcBorders>
              <w:top w:val="single" w:sz="4" w:space="0" w:color="auto"/>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16"/>
                <w:szCs w:val="16"/>
              </w:rPr>
            </w:pPr>
            <w:r>
              <w:rPr>
                <w:rFonts w:ascii="宋体" w:cs="宋体" w:hint="eastAsia"/>
                <w:kern w:val="0"/>
                <w:sz w:val="16"/>
                <w:szCs w:val="16"/>
              </w:rPr>
              <w:t>科目代码</w:t>
            </w:r>
          </w:p>
        </w:tc>
        <w:tc>
          <w:tcPr>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cs="宋体"/>
                <w:kern w:val="0"/>
                <w:sz w:val="16"/>
                <w:szCs w:val="16"/>
              </w:rPr>
            </w:pPr>
            <w:r>
              <w:rPr>
                <w:rFonts w:ascii="宋体" w:cs="宋体" w:hint="eastAsia"/>
                <w:kern w:val="0"/>
                <w:sz w:val="16"/>
                <w:szCs w:val="16"/>
              </w:rPr>
              <w:t>科目名称</w:t>
            </w:r>
          </w:p>
        </w:tc>
        <w:tc>
          <w:tcPr>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cs="宋体"/>
                <w:kern w:val="0"/>
                <w:sz w:val="16"/>
                <w:szCs w:val="16"/>
              </w:rPr>
            </w:pPr>
            <w:r>
              <w:rPr>
                <w:rFonts w:ascii="宋体" w:cs="宋体" w:hint="eastAsia"/>
                <w:kern w:val="0"/>
                <w:sz w:val="16"/>
                <w:szCs w:val="16"/>
              </w:rPr>
              <w:t>合计</w:t>
            </w:r>
          </w:p>
        </w:tc>
        <w:tc>
          <w:tcPr>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cs="宋体"/>
                <w:kern w:val="0"/>
                <w:sz w:val="16"/>
                <w:szCs w:val="16"/>
              </w:rPr>
            </w:pPr>
            <w:r>
              <w:rPr>
                <w:rFonts w:ascii="宋体" w:cs="宋体" w:hint="eastAsia"/>
                <w:kern w:val="0"/>
                <w:sz w:val="16"/>
                <w:szCs w:val="16"/>
              </w:rPr>
              <w:t>基本支出</w:t>
            </w:r>
          </w:p>
        </w:tc>
        <w:tc>
          <w:tcPr>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cs="宋体"/>
                <w:kern w:val="0"/>
                <w:sz w:val="16"/>
                <w:szCs w:val="16"/>
              </w:rPr>
            </w:pPr>
            <w:r>
              <w:rPr>
                <w:rFonts w:ascii="宋体" w:cs="宋体" w:hint="eastAsia"/>
                <w:kern w:val="0"/>
                <w:sz w:val="16"/>
                <w:szCs w:val="16"/>
              </w:rPr>
              <w:t>项目支出</w:t>
            </w:r>
          </w:p>
        </w:tc>
        <w:tc>
          <w:tcPr>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cs="宋体"/>
                <w:kern w:val="0"/>
                <w:sz w:val="16"/>
                <w:szCs w:val="16"/>
              </w:rPr>
            </w:pPr>
            <w:r>
              <w:rPr>
                <w:rFonts w:ascii="宋体" w:cs="宋体" w:hint="eastAsia"/>
                <w:kern w:val="0"/>
                <w:sz w:val="16"/>
                <w:szCs w:val="16"/>
              </w:rPr>
              <w:t>上缴上级支出</w:t>
            </w:r>
          </w:p>
        </w:tc>
        <w:tc>
          <w:tcPr>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cs="宋体"/>
                <w:kern w:val="0"/>
                <w:sz w:val="16"/>
                <w:szCs w:val="16"/>
              </w:rPr>
            </w:pPr>
            <w:r>
              <w:rPr>
                <w:rFonts w:ascii="宋体" w:cs="宋体" w:hint="eastAsia"/>
                <w:kern w:val="0"/>
                <w:sz w:val="16"/>
                <w:szCs w:val="16"/>
              </w:rPr>
              <w:t>事业单位经营支出</w:t>
            </w:r>
          </w:p>
        </w:tc>
        <w:tc>
          <w:tcPr>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cs="宋体"/>
                <w:kern w:val="0"/>
                <w:sz w:val="16"/>
                <w:szCs w:val="16"/>
              </w:rPr>
            </w:pPr>
            <w:r>
              <w:rPr>
                <w:rFonts w:ascii="宋体" w:cs="宋体" w:hint="eastAsia"/>
                <w:kern w:val="0"/>
                <w:sz w:val="16"/>
                <w:szCs w:val="16"/>
              </w:rPr>
              <w:t>对附属单位补助支出</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201</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一般公共服务支出</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1,766.10</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1,766.10</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20109</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海关事务</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1,766.10</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1,766.10</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2010903</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机关服务</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1,766.10</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1,766.10</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208</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社会保障和就业支出</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90.61</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90.61</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20805</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行政事业单位养老支出</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90.61</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90.61</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2080502</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事业单位离退休</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13.68</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13.68</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2080505</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机关事业单位基本养老保险缴费支出</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50.96</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50.96</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2080506</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机关事业单位职业年金缴费支出</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25.97</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25.97</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210</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卫生健康支出</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23.37</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23.37</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21011</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行政事业单位医疗</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23.37</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23.37</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2101102</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事业单位医疗</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22.07</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22.07</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2101199</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其他行政事业单位医疗支出</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1.30</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1.30</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221</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住房保障支出</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201.29</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201.29</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22102</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住房改革支出</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201.29</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201.29</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2210201</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住房公积金</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42.00</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42.00</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2210203</w:t>
            </w:r>
          </w:p>
        </w:tc>
        <w:tc>
          <w:tcPr>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 xml:space="preserve">    购房补贴</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159.29</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159.29</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450"/>
        </w:trPr>
        <w:tc>
          <w:tcPr>
            <w:tcBorders>
              <w:top w:val="nil"/>
              <w:left w:val="single" w:sz="4" w:space="0" w:color="auto"/>
              <w:bottom w:val="single" w:sz="4" w:space="0" w:color="auto"/>
              <w:right w:val="single" w:sz="4" w:space="0" w:color="auto"/>
            </w:tcBorders>
            <w:shd w:val="clear" w:color="000000" w:fill="FFFFFF"/>
            <w:vAlign w:val="center"/>
          </w:tcPr>
          <w:p>
            <w:pPr>
              <w:widowControl/>
              <w:jc w:val="center"/>
              <w:rPr>
                <w:rFonts w:ascii="宋体" w:cs="宋体"/>
                <w:b/>
                <w:bCs/>
                <w:kern w:val="0"/>
                <w:sz w:val="15"/>
                <w:szCs w:val="15"/>
              </w:rPr>
            </w:pPr>
            <w:r>
              <w:rPr>
                <w:rFonts w:ascii="宋体" w:cs="宋体" w:hint="eastAsia"/>
                <w:b/>
                <w:bCs/>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center"/>
              <w:rPr>
                <w:rFonts w:ascii="宋体" w:cs="宋体"/>
                <w:b/>
                <w:bCs/>
                <w:kern w:val="0"/>
                <w:sz w:val="15"/>
                <w:szCs w:val="15"/>
              </w:rPr>
            </w:pPr>
            <w:r>
              <w:rPr>
                <w:rFonts w:ascii="宋体" w:cs="宋体" w:hint="eastAsia"/>
                <w:b/>
                <w:bCs/>
                <w:kern w:val="0"/>
                <w:sz w:val="15"/>
                <w:szCs w:val="15"/>
              </w:rPr>
              <w:t>合        计</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b/>
                <w:bCs/>
                <w:kern w:val="0"/>
                <w:sz w:val="15"/>
                <w:szCs w:val="15"/>
              </w:rPr>
            </w:pPr>
            <w:r>
              <w:rPr>
                <w:rFonts w:ascii="宋体" w:cs="宋体" w:hint="eastAsia"/>
                <w:b/>
                <w:bCs/>
                <w:kern w:val="0"/>
                <w:sz w:val="15"/>
                <w:szCs w:val="15"/>
              </w:rPr>
              <w:t>2,081.37</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b/>
                <w:bCs/>
                <w:kern w:val="0"/>
                <w:sz w:val="15"/>
                <w:szCs w:val="15"/>
              </w:rPr>
            </w:pPr>
            <w:r>
              <w:rPr>
                <w:rFonts w:ascii="宋体" w:cs="宋体" w:hint="eastAsia"/>
                <w:b/>
                <w:bCs/>
                <w:kern w:val="0"/>
                <w:sz w:val="15"/>
                <w:szCs w:val="15"/>
              </w:rPr>
              <w:t>2,081.37</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b/>
                <w:bCs/>
                <w:kern w:val="0"/>
                <w:sz w:val="15"/>
                <w:szCs w:val="15"/>
              </w:rPr>
            </w:pPr>
            <w:r>
              <w:rPr>
                <w:rFonts w:ascii="宋体" w:cs="宋体" w:hint="eastAsia"/>
                <w:b/>
                <w:bCs/>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b/>
                <w:bCs/>
                <w:kern w:val="0"/>
                <w:sz w:val="15"/>
                <w:szCs w:val="15"/>
              </w:rPr>
            </w:pPr>
            <w:r>
              <w:rPr>
                <w:rFonts w:ascii="宋体" w:cs="宋体" w:hint="eastAsia"/>
                <w:b/>
                <w:bCs/>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b/>
                <w:bCs/>
                <w:kern w:val="0"/>
                <w:sz w:val="15"/>
                <w:szCs w:val="15"/>
              </w:rPr>
            </w:pPr>
            <w:r>
              <w:rPr>
                <w:rFonts w:ascii="宋体" w:cs="宋体" w:hint="eastAsia"/>
                <w:b/>
                <w:bCs/>
                <w:kern w:val="0"/>
                <w:sz w:val="15"/>
                <w:szCs w:val="15"/>
              </w:rPr>
              <w:t>　</w:t>
            </w:r>
          </w:p>
        </w:tc>
        <w:tc>
          <w:tcPr>
            <w:tcBorders>
              <w:top w:val="nil"/>
              <w:left w:val="nil"/>
              <w:bottom w:val="single" w:sz="4" w:space="0" w:color="auto"/>
              <w:right w:val="single" w:sz="4" w:space="0" w:color="auto"/>
            </w:tcBorders>
            <w:shd w:val="clear" w:color="000000" w:fill="FFFFFF"/>
            <w:vAlign w:val="center"/>
          </w:tcPr>
          <w:p>
            <w:pPr>
              <w:widowControl/>
              <w:jc w:val="right"/>
              <w:rPr>
                <w:rFonts w:ascii="宋体" w:cs="宋体"/>
                <w:b/>
                <w:bCs/>
                <w:kern w:val="0"/>
                <w:sz w:val="15"/>
                <w:szCs w:val="15"/>
              </w:rPr>
            </w:pPr>
            <w:r>
              <w:rPr>
                <w:rFonts w:ascii="宋体" w:cs="宋体" w:hint="eastAsia"/>
                <w:b/>
                <w:bCs/>
                <w:kern w:val="0"/>
                <w:sz w:val="15"/>
                <w:szCs w:val="15"/>
              </w:rPr>
              <w:t>　</w:t>
            </w:r>
          </w:p>
        </w:tc>
      </w:tr>
    </w:tbl>
    <w:p/>
    <w:p>
      <w:pPr>
        <w:pStyle w:val="2307"/>
        <w:rPr>
          <w:rFonts w:ascii="Times New Roman" w:eastAsia="宋体" w:hAnsi="Times New Roman"/>
        </w:rPr>
        <w:sectPr>
          <w:pgSz w:w="11907" w:h="16841"/>
          <w:pgMar w:top="1431" w:right="451" w:bottom="0" w:left="451" w:header="0" w:footer="0" w:gutter="0"/>
          <w:docGrid w:linePitch="285" w:charSpace="0"/>
        </w:sectPr>
      </w:pPr>
    </w:p>
    <w:p>
      <w:pPr>
        <w:jc w:val="right"/>
        <w:rPr>
          <w:rFonts w:eastAsia="黑体" w:cs="黑体"/>
          <w:snapToGrid w:val="0"/>
          <w:sz w:val="20"/>
          <w:szCs w:val="20"/>
        </w:rPr>
      </w:pPr>
      <w:r>
        <w:rPr>
          <w:rFonts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spacing w:before="49" w:line="180" w:lineRule="auto"/>
        <w:ind w:firstLine="12990"/>
        <w:jc w:val="right"/>
        <w:rPr>
          <w:rFonts w:cs="Microsoft JhengHei"/>
          <w:sz w:val="20"/>
          <w:szCs w:val="20"/>
        </w:rPr>
      </w:pPr>
      <w:r>
        <w:rPr>
          <w:rFonts w:cs="Microsoft JhengHei" w:hint="eastAsia"/>
          <w:spacing w:val="-3"/>
          <w:sz w:val="20"/>
          <w:szCs w:val="20"/>
        </w:rPr>
        <w:t>单位：万元</w:t>
      </w:r>
    </w:p>
    <w:p>
      <w:pPr>
        <w:spacing w:line="48" w:lineRule="auto"/>
        <w:rPr>
          <w:sz w:val="2"/>
        </w:rPr>
      </w:pPr>
    </w:p>
    <w:tbl>
      <w:tblPr>
        <w:jc w:val="left"/>
        <w:tblInd w:w="93" w:type="dxa"/>
        <w:tblW w:w="1419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800"/>
        <w:gridCol w:w="2586"/>
        <w:gridCol w:w="3969"/>
        <w:gridCol w:w="2835"/>
      </w:tblGrid>
      <w:tr>
        <w:trPr>
          <w:trHeight w:val="375"/>
        </w:trPr>
        <w:tc>
          <w:tcPr>
            <w:tcW w:w="73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20"/>
                <w:szCs w:val="20"/>
              </w:rPr>
            </w:pPr>
            <w:r>
              <w:rPr>
                <w:rFonts w:ascii="宋体" w:cs="宋体" w:hint="eastAsia"/>
                <w:kern w:val="0"/>
                <w:sz w:val="20"/>
                <w:szCs w:val="20"/>
              </w:rPr>
              <w:t>收      入</w:t>
            </w:r>
          </w:p>
        </w:tc>
        <w:tc>
          <w:tcPr>
            <w:tcW w:w="6804" w:type="dxa"/>
            <w:gridSpan w:val="2"/>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cs="宋体"/>
                <w:kern w:val="0"/>
                <w:sz w:val="20"/>
                <w:szCs w:val="20"/>
              </w:rPr>
            </w:pPr>
            <w:r>
              <w:rPr>
                <w:rFonts w:ascii="宋体" w:cs="宋体" w:hint="eastAsia"/>
                <w:kern w:val="0"/>
                <w:sz w:val="20"/>
                <w:szCs w:val="20"/>
              </w:rPr>
              <w:t>支      出</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20"/>
                <w:szCs w:val="20"/>
              </w:rPr>
            </w:pPr>
            <w:r>
              <w:rPr>
                <w:rFonts w:ascii="宋体" w:cs="宋体" w:hint="eastAsia"/>
                <w:kern w:val="0"/>
                <w:sz w:val="20"/>
                <w:szCs w:val="20"/>
              </w:rPr>
              <w:t>项    目</w:t>
            </w:r>
          </w:p>
        </w:tc>
        <w:tc>
          <w:tcPr>
            <w:tcW w:w="2586" w:type="dxa"/>
            <w:tcBorders>
              <w:top w:val="nil"/>
              <w:left w:val="nil"/>
              <w:bottom w:val="single" w:sz="4" w:space="0" w:color="auto"/>
              <w:right w:val="single" w:sz="4" w:space="0" w:color="auto"/>
            </w:tcBorders>
            <w:shd w:val="clear" w:color="000000" w:fill="FFFFFF"/>
            <w:vAlign w:val="center"/>
          </w:tcPr>
          <w:p>
            <w:pPr>
              <w:widowControl/>
              <w:jc w:val="center"/>
              <w:rPr>
                <w:rFonts w:ascii="宋体" w:cs="宋体"/>
                <w:kern w:val="0"/>
                <w:sz w:val="20"/>
                <w:szCs w:val="20"/>
              </w:rPr>
            </w:pPr>
            <w:r>
              <w:rPr>
                <w:rFonts w:ascii="宋体" w:cs="宋体" w:hint="eastAsia"/>
                <w:kern w:val="0"/>
                <w:sz w:val="20"/>
                <w:szCs w:val="20"/>
              </w:rPr>
              <w:t>预算数</w:t>
            </w:r>
          </w:p>
        </w:tc>
        <w:tc>
          <w:tcPr>
            <w:tcW w:w="3969" w:type="dxa"/>
            <w:tcBorders>
              <w:top w:val="nil"/>
              <w:left w:val="nil"/>
              <w:bottom w:val="single" w:sz="4" w:space="0" w:color="auto"/>
              <w:right w:val="single" w:sz="4" w:space="0" w:color="auto"/>
            </w:tcBorders>
            <w:shd w:val="clear" w:color="000000" w:fill="FFFFFF"/>
            <w:vAlign w:val="center"/>
          </w:tcPr>
          <w:p>
            <w:pPr>
              <w:widowControl/>
              <w:jc w:val="center"/>
              <w:rPr>
                <w:rFonts w:ascii="宋体" w:cs="宋体"/>
                <w:kern w:val="0"/>
                <w:sz w:val="20"/>
                <w:szCs w:val="20"/>
              </w:rPr>
            </w:pPr>
            <w:r>
              <w:rPr>
                <w:rFonts w:ascii="宋体" w:cs="宋体" w:hint="eastAsia"/>
                <w:kern w:val="0"/>
                <w:sz w:val="20"/>
                <w:szCs w:val="20"/>
              </w:rPr>
              <w:t>项    目</w:t>
            </w:r>
          </w:p>
        </w:tc>
        <w:tc>
          <w:tcPr>
            <w:tcW w:w="2835" w:type="dxa"/>
            <w:tcBorders>
              <w:top w:val="nil"/>
              <w:left w:val="nil"/>
              <w:bottom w:val="single" w:sz="4" w:space="0" w:color="auto"/>
              <w:right w:val="single" w:sz="4" w:space="0" w:color="auto"/>
            </w:tcBorders>
            <w:shd w:val="clear" w:color="000000" w:fill="FFFFFF"/>
            <w:vAlign w:val="center"/>
          </w:tcPr>
          <w:p>
            <w:pPr>
              <w:widowControl/>
              <w:jc w:val="center"/>
              <w:rPr>
                <w:rFonts w:ascii="宋体" w:cs="宋体"/>
                <w:kern w:val="0"/>
                <w:sz w:val="20"/>
                <w:szCs w:val="20"/>
              </w:rPr>
            </w:pPr>
            <w:r>
              <w:rPr>
                <w:rFonts w:ascii="宋体" w:cs="宋体" w:hint="eastAsia"/>
                <w:kern w:val="0"/>
                <w:sz w:val="20"/>
                <w:szCs w:val="20"/>
              </w:rPr>
              <w:t>预算数</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一、本年收入</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177.01</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一、本年支出</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177.01</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（一）一般公共预算拨款</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177.01</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（一）一般公共服务支出</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78.00</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（二）政府性基金预算拨款</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　</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（二）社会保障和就业支出</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76.93</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（三）国有资本经营预算拨款</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　</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（三）住房保障支出</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22.08</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　</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　</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　</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　</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二、上年结转</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　</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　</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　</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（一）一般公共预算拨款</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　</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　</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　</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（二）政府性基金预算拨款</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　</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　</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　</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（三）国有资本经营预算拨款</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　</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18"/>
                <w:szCs w:val="18"/>
              </w:rPr>
            </w:pPr>
            <w:r>
              <w:rPr>
                <w:rFonts w:ascii="宋体" w:cs="宋体" w:hint="eastAsia"/>
                <w:kern w:val="0"/>
                <w:sz w:val="18"/>
                <w:szCs w:val="18"/>
              </w:rPr>
              <w:t>　</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8"/>
                <w:szCs w:val="18"/>
              </w:rPr>
            </w:pPr>
            <w:r>
              <w:rPr>
                <w:rFonts w:ascii="宋体" w:cs="宋体" w:hint="eastAsia"/>
                <w:kern w:val="0"/>
                <w:sz w:val="18"/>
                <w:szCs w:val="18"/>
              </w:rPr>
              <w:t>　</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r>
      <w:tr>
        <w:trPr>
          <w:trHeight w:val="375"/>
        </w:trPr>
        <w:tc>
          <w:tcPr>
            <w:tcW w:w="4800" w:type="dxa"/>
            <w:tcBorders>
              <w:top w:val="nil"/>
              <w:left w:val="single" w:sz="4" w:space="0" w:color="auto"/>
              <w:bottom w:val="single" w:sz="4" w:space="0" w:color="auto"/>
              <w:right w:val="single" w:sz="4" w:space="0" w:color="auto"/>
            </w:tcBorders>
            <w:shd w:val="clear" w:color="000000" w:fill="FFFFFF"/>
            <w:noWrap/>
            <w:vAlign w:val="center"/>
          </w:tcPr>
          <w:p>
            <w:pPr>
              <w:widowControl/>
              <w:jc w:val="center"/>
              <w:rPr>
                <w:rFonts w:ascii="宋体" w:cs="宋体"/>
                <w:kern w:val="0"/>
                <w:sz w:val="20"/>
                <w:szCs w:val="20"/>
              </w:rPr>
            </w:pPr>
            <w:r>
              <w:rPr>
                <w:rFonts w:ascii="宋体" w:cs="宋体" w:hint="eastAsia"/>
                <w:kern w:val="0"/>
                <w:sz w:val="20"/>
                <w:szCs w:val="20"/>
              </w:rPr>
              <w:t xml:space="preserve">     收    入    总    计</w:t>
            </w:r>
          </w:p>
        </w:tc>
        <w:tc>
          <w:tcPr>
            <w:tcW w:w="2586"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177.01</w:t>
            </w:r>
          </w:p>
        </w:tc>
        <w:tc>
          <w:tcPr>
            <w:tcW w:w="3969" w:type="dxa"/>
            <w:tcBorders>
              <w:top w:val="nil"/>
              <w:left w:val="nil"/>
              <w:bottom w:val="single" w:sz="4" w:space="0" w:color="auto"/>
              <w:right w:val="single" w:sz="4" w:space="0" w:color="auto"/>
            </w:tcBorders>
            <w:shd w:val="clear" w:color="000000" w:fill="FFFFFF"/>
            <w:noWrap/>
            <w:vAlign w:val="center"/>
          </w:tcPr>
          <w:p>
            <w:pPr>
              <w:widowControl/>
              <w:jc w:val="center"/>
              <w:rPr>
                <w:rFonts w:ascii="宋体" w:cs="宋体"/>
                <w:kern w:val="0"/>
                <w:sz w:val="20"/>
                <w:szCs w:val="20"/>
              </w:rPr>
            </w:pPr>
            <w:r>
              <w:rPr>
                <w:rFonts w:ascii="宋体" w:cs="宋体" w:hint="eastAsia"/>
                <w:kern w:val="0"/>
                <w:sz w:val="20"/>
                <w:szCs w:val="20"/>
              </w:rPr>
              <w:t xml:space="preserve">     支    出    总    计</w:t>
            </w:r>
          </w:p>
        </w:tc>
        <w:tc>
          <w:tcPr>
            <w:tcW w:w="2835"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177.01</w:t>
            </w:r>
          </w:p>
        </w:tc>
      </w:tr>
    </w:tbl>
    <w:p/>
    <w:p>
      <w:pPr>
        <w:sectPr>
          <w:pgSz w:w="16841" w:h="11907" w:orient="landscape"/>
          <w:pgMar w:top="548" w:right="1322" w:bottom="0" w:left="1324" w:header="0" w:footer="283" w:gutter="0"/>
          <w:docGrid w:linePitch="286" w:charSpace="0"/>
        </w:sectPr>
      </w:pPr>
    </w:p>
    <w:p>
      <w:pPr>
        <w:jc w:val="right"/>
        <w:rPr>
          <w:rFonts w:eastAsia="黑体" w:cs="黑体"/>
          <w:sz w:val="20"/>
          <w:szCs w:val="20"/>
        </w:rPr>
      </w:pPr>
      <w:r>
        <w:rPr>
          <w:rFonts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p>
      <w:pPr>
        <w:pStyle w:val="2319"/>
        <w:rPr>
          <w:rFonts w:ascii="Times New Roman" w:eastAsia="宋体" w:hAnsi="Times New Roman"/>
        </w:rPr>
      </w:pPr>
    </w:p>
    <w:tbl>
      <w:tblPr>
        <w:jc w:val="left"/>
        <w:tblInd w:w="93" w:type="dxa"/>
        <w:tblW w:w="1504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41"/>
        <w:gridCol w:w="1909"/>
        <w:gridCol w:w="1134"/>
        <w:gridCol w:w="1276"/>
        <w:gridCol w:w="992"/>
        <w:gridCol w:w="1418"/>
        <w:gridCol w:w="1276"/>
        <w:gridCol w:w="1417"/>
        <w:gridCol w:w="1134"/>
        <w:gridCol w:w="1134"/>
        <w:gridCol w:w="1276"/>
        <w:gridCol w:w="1134"/>
      </w:tblGrid>
      <w:tr>
        <w:trPr>
          <w:trHeight w:val="300"/>
        </w:trPr>
        <w:tc>
          <w:tcPr>
            <w:tcW w:w="285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功能分类科目</w:t>
            </w:r>
          </w:p>
        </w:tc>
        <w:tc>
          <w:tcPr>
            <w:tcW w:w="241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bottom"/>
          </w:tcPr>
          <w:p>
            <w:pPr>
              <w:widowControl/>
              <w:jc w:val="center"/>
              <w:rPr>
                <w:kern w:val="0"/>
                <w:sz w:val="16"/>
                <w:szCs w:val="16"/>
              </w:rPr>
            </w:pPr>
            <w:r>
              <w:rPr>
                <w:kern w:val="0"/>
                <w:sz w:val="16"/>
                <w:szCs w:val="16"/>
              </w:rPr>
              <w:t>2025</w:t>
            </w:r>
            <w:r>
              <w:rPr>
                <w:rFonts w:ascii="宋体" w:hint="eastAsia"/>
                <w:kern w:val="0"/>
                <w:sz w:val="16"/>
                <w:szCs w:val="16"/>
              </w:rPr>
              <w:t>年执行数</w:t>
            </w:r>
          </w:p>
        </w:tc>
        <w:tc>
          <w:tcPr>
            <w:tcW w:w="5103" w:type="dxa"/>
            <w:gridSpan w:val="4"/>
            <w:vMerge w:val="restart"/>
            <w:tcBorders>
              <w:top w:val="single" w:sz="8" w:space="0" w:color="000000"/>
              <w:left w:val="single" w:sz="8" w:space="0" w:color="000000"/>
              <w:bottom w:val="single" w:sz="8" w:space="0" w:color="000000"/>
              <w:right w:val="single" w:sz="8" w:space="0" w:color="000000"/>
            </w:tcBorders>
            <w:shd w:val="clear" w:color="auto" w:fill="auto"/>
            <w:vAlign w:val="bottom"/>
          </w:tcPr>
          <w:p>
            <w:pPr>
              <w:widowControl/>
              <w:jc w:val="center"/>
              <w:rPr>
                <w:color w:val="000000"/>
                <w:kern w:val="0"/>
                <w:sz w:val="16"/>
                <w:szCs w:val="16"/>
              </w:rPr>
            </w:pPr>
            <w:r>
              <w:rPr>
                <w:color w:val="000000"/>
                <w:kern w:val="0"/>
                <w:sz w:val="16"/>
                <w:szCs w:val="16"/>
              </w:rPr>
              <w:t>2026</w:t>
            </w:r>
            <w:r>
              <w:rPr>
                <w:rFonts w:ascii="宋体" w:hint="eastAsia"/>
                <w:color w:val="000000"/>
                <w:kern w:val="0"/>
                <w:sz w:val="16"/>
                <w:szCs w:val="16"/>
              </w:rPr>
              <w:t>年预算数</w:t>
            </w:r>
          </w:p>
        </w:tc>
        <w:tc>
          <w:tcPr>
            <w:tcW w:w="2268" w:type="dxa"/>
            <w:gridSpan w:val="2"/>
            <w:tcBorders>
              <w:top w:val="single" w:sz="8" w:space="0" w:color="000000"/>
              <w:left w:val="nil"/>
              <w:bottom w:val="nil"/>
              <w:right w:val="single" w:sz="8" w:space="0" w:color="000000"/>
            </w:tcBorders>
            <w:shd w:val="clear" w:color="auto" w:fill="auto"/>
            <w:vAlign w:val="center"/>
          </w:tcPr>
          <w:p>
            <w:pPr>
              <w:widowControl/>
              <w:jc w:val="center"/>
              <w:rPr>
                <w:color w:val="000000"/>
                <w:kern w:val="0"/>
                <w:sz w:val="16"/>
                <w:szCs w:val="16"/>
              </w:rPr>
            </w:pPr>
            <w:r>
              <w:rPr>
                <w:color w:val="000000"/>
                <w:kern w:val="0"/>
                <w:sz w:val="16"/>
                <w:szCs w:val="16"/>
              </w:rPr>
              <w:t>2026</w:t>
            </w:r>
            <w:r>
              <w:rPr>
                <w:rFonts w:ascii="宋体" w:hint="eastAsia"/>
                <w:color w:val="000000"/>
                <w:kern w:val="0"/>
                <w:sz w:val="16"/>
                <w:szCs w:val="16"/>
              </w:rPr>
              <w:t>年预算数比</w:t>
            </w:r>
          </w:p>
        </w:tc>
        <w:tc>
          <w:tcPr>
            <w:tcW w:w="2410" w:type="dxa"/>
            <w:gridSpan w:val="2"/>
            <w:tcBorders>
              <w:top w:val="single" w:sz="8" w:space="0" w:color="000000"/>
              <w:left w:val="nil"/>
              <w:bottom w:val="nil"/>
              <w:right w:val="single" w:sz="8" w:space="0" w:color="000000"/>
            </w:tcBorders>
            <w:shd w:val="clear" w:color="auto" w:fill="auto"/>
            <w:vAlign w:val="bottom"/>
          </w:tcPr>
          <w:p>
            <w:pPr>
              <w:widowControl/>
              <w:jc w:val="center"/>
              <w:rPr>
                <w:color w:val="000000"/>
                <w:kern w:val="0"/>
                <w:sz w:val="16"/>
                <w:szCs w:val="16"/>
              </w:rPr>
            </w:pPr>
            <w:r>
              <w:rPr>
                <w:color w:val="000000"/>
                <w:kern w:val="0"/>
                <w:sz w:val="16"/>
                <w:szCs w:val="16"/>
              </w:rPr>
              <w:t>2026</w:t>
            </w:r>
            <w:r>
              <w:rPr>
                <w:rFonts w:ascii="宋体" w:hint="eastAsia"/>
                <w:color w:val="000000"/>
                <w:kern w:val="0"/>
                <w:sz w:val="16"/>
                <w:szCs w:val="16"/>
              </w:rPr>
              <w:t>年预算数比</w:t>
            </w:r>
          </w:p>
        </w:tc>
      </w:tr>
      <w:tr>
        <w:trPr>
          <w:trHeight w:val="300"/>
        </w:trPr>
        <w:tc>
          <w:tcPr>
            <w:tcW w:w="2850" w:type="dxa"/>
            <w:gridSpan w:val="2"/>
            <w:vMerge/>
            <w:tcBorders>
              <w:top w:val="single" w:sz="8" w:space="0" w:color="000000"/>
              <w:left w:val="single" w:sz="8" w:space="0" w:color="000000"/>
              <w:bottom w:val="single" w:sz="8" w:space="0" w:color="000000"/>
              <w:right w:val="single" w:sz="8" w:space="0" w:color="000000"/>
            </w:tcBorders>
            <w:vAlign w:val="center"/>
          </w:tcPr>
          <w:p/>
        </w:tc>
        <w:tc>
          <w:tcPr>
            <w:tcW w:w="2410" w:type="dxa"/>
            <w:gridSpan w:val="2"/>
            <w:vMerge/>
            <w:tcBorders>
              <w:top w:val="single" w:sz="8" w:space="0" w:color="000000"/>
              <w:left w:val="single" w:sz="8" w:space="0" w:color="000000"/>
              <w:bottom w:val="single" w:sz="8" w:space="0" w:color="000000"/>
              <w:right w:val="single" w:sz="8" w:space="0" w:color="000000"/>
            </w:tcBorders>
            <w:vAlign w:val="center"/>
          </w:tcPr>
          <w:p/>
        </w:tc>
        <w:tc>
          <w:tcPr>
            <w:tcW w:w="5103" w:type="dxa"/>
            <w:gridSpan w:val="4"/>
            <w:vMerge/>
            <w:tcBorders>
              <w:top w:val="single" w:sz="8" w:space="0" w:color="000000"/>
              <w:left w:val="single" w:sz="8" w:space="0" w:color="000000"/>
              <w:bottom w:val="single" w:sz="8" w:space="0" w:color="000000"/>
              <w:right w:val="single" w:sz="8" w:space="0" w:color="000000"/>
            </w:tcBorders>
            <w:vAlign w:val="center"/>
          </w:tcPr>
          <w:p/>
        </w:tc>
        <w:tc>
          <w:tcPr>
            <w:tcW w:w="2268" w:type="dxa"/>
            <w:gridSpan w:val="2"/>
            <w:tcBorders>
              <w:top w:val="nil"/>
              <w:left w:val="nil"/>
              <w:bottom w:val="nil"/>
              <w:right w:val="single" w:sz="8" w:space="0" w:color="000000"/>
            </w:tcBorders>
            <w:shd w:val="clear" w:color="auto" w:fill="auto"/>
            <w:vAlign w:val="center"/>
          </w:tcPr>
          <w:p>
            <w:pPr>
              <w:widowControl/>
              <w:jc w:val="center"/>
              <w:rPr>
                <w:color w:val="000000"/>
                <w:kern w:val="0"/>
                <w:sz w:val="16"/>
                <w:szCs w:val="16"/>
              </w:rPr>
            </w:pPr>
            <w:r>
              <w:rPr>
                <w:color w:val="000000"/>
                <w:kern w:val="0"/>
                <w:sz w:val="16"/>
                <w:szCs w:val="16"/>
              </w:rPr>
              <w:t>2025</w:t>
            </w:r>
            <w:r>
              <w:rPr>
                <w:rFonts w:ascii="宋体" w:hint="eastAsia"/>
                <w:color w:val="000000"/>
                <w:kern w:val="0"/>
                <w:sz w:val="16"/>
                <w:szCs w:val="16"/>
              </w:rPr>
              <w:t>年执行数</w:t>
            </w:r>
          </w:p>
        </w:tc>
        <w:tc>
          <w:tcPr>
            <w:tcW w:w="2410" w:type="dxa"/>
            <w:gridSpan w:val="2"/>
            <w:tcBorders>
              <w:top w:val="nil"/>
              <w:left w:val="nil"/>
              <w:bottom w:val="nil"/>
              <w:right w:val="single" w:sz="8" w:space="0" w:color="000000"/>
            </w:tcBorders>
            <w:shd w:val="clear" w:color="auto" w:fill="auto"/>
            <w:vAlign w:val="bottom"/>
          </w:tcPr>
          <w:p>
            <w:pPr>
              <w:widowControl/>
              <w:jc w:val="center"/>
              <w:rPr>
                <w:color w:val="000000"/>
                <w:kern w:val="0"/>
                <w:sz w:val="16"/>
                <w:szCs w:val="16"/>
              </w:rPr>
            </w:pPr>
            <w:r>
              <w:rPr>
                <w:color w:val="000000"/>
                <w:kern w:val="0"/>
                <w:sz w:val="16"/>
                <w:szCs w:val="16"/>
              </w:rPr>
              <w:t>2025</w:t>
            </w:r>
            <w:r>
              <w:rPr>
                <w:rFonts w:ascii="宋体" w:hint="eastAsia"/>
                <w:color w:val="000000"/>
                <w:kern w:val="0"/>
                <w:sz w:val="16"/>
                <w:szCs w:val="16"/>
              </w:rPr>
              <w:t>年执行数</w:t>
            </w:r>
          </w:p>
        </w:tc>
      </w:tr>
      <w:tr>
        <w:trPr>
          <w:trHeight w:val="315"/>
        </w:trPr>
        <w:tc>
          <w:tcPr>
            <w:tcW w:w="2850" w:type="dxa"/>
            <w:gridSpan w:val="2"/>
            <w:vMerge/>
            <w:tcBorders>
              <w:top w:val="single" w:sz="8" w:space="0" w:color="000000"/>
              <w:left w:val="single" w:sz="8" w:space="0" w:color="000000"/>
              <w:bottom w:val="single" w:sz="8" w:space="0" w:color="000000"/>
              <w:right w:val="single" w:sz="8" w:space="0" w:color="000000"/>
            </w:tcBorders>
            <w:vAlign w:val="center"/>
          </w:tcPr>
          <w:p/>
        </w:tc>
        <w:tc>
          <w:tcPr>
            <w:tcW w:w="2410" w:type="dxa"/>
            <w:gridSpan w:val="2"/>
            <w:vMerge/>
            <w:tcBorders>
              <w:top w:val="single" w:sz="8" w:space="0" w:color="000000"/>
              <w:left w:val="single" w:sz="8" w:space="0" w:color="000000"/>
              <w:bottom w:val="single" w:sz="8" w:space="0" w:color="000000"/>
              <w:right w:val="single" w:sz="8" w:space="0" w:color="000000"/>
            </w:tcBorders>
            <w:vAlign w:val="center"/>
          </w:tcPr>
          <w:p/>
        </w:tc>
        <w:tc>
          <w:tcPr>
            <w:tcW w:w="5103" w:type="dxa"/>
            <w:gridSpan w:val="4"/>
            <w:vMerge/>
            <w:tcBorders>
              <w:top w:val="single" w:sz="8" w:space="0" w:color="000000"/>
              <w:left w:val="single" w:sz="8" w:space="0" w:color="000000"/>
              <w:bottom w:val="single" w:sz="8" w:space="0" w:color="000000"/>
              <w:right w:val="single" w:sz="8" w:space="0" w:color="000000"/>
            </w:tcBorders>
            <w:vAlign w:val="center"/>
          </w:tcPr>
          <w:p/>
        </w:tc>
        <w:tc>
          <w:tcPr>
            <w:tcW w:w="2268" w:type="dxa"/>
            <w:gridSpan w:val="2"/>
            <w:tcBorders>
              <w:top w:val="nil"/>
              <w:left w:val="nil"/>
              <w:bottom w:val="single" w:sz="8" w:space="0" w:color="000000"/>
              <w:right w:val="single" w:sz="8" w:space="0" w:color="000000"/>
            </w:tcBorders>
            <w:shd w:val="clear" w:color="auto" w:fill="auto"/>
            <w:vAlign w:val="bottom"/>
          </w:tcPr>
          <w:p>
            <w:pPr>
              <w:widowControl/>
              <w:jc w:val="left"/>
              <w:rPr>
                <w:rFonts w:ascii="Calibri" w:cs="宋体" w:hAnsi="Calibri"/>
                <w:kern w:val="0"/>
                <w:sz w:val="22"/>
                <w:szCs w:val="22"/>
              </w:rPr>
            </w:pPr>
            <w:r>
              <w:rPr>
                <w:rFonts w:ascii="Calibri" w:cs="宋体" w:hAnsi="Calibri"/>
                <w:kern w:val="0"/>
                <w:sz w:val="22"/>
                <w:szCs w:val="22"/>
              </w:rPr>
              <w:t>　</w:t>
            </w:r>
          </w:p>
        </w:tc>
        <w:tc>
          <w:tcPr>
            <w:tcW w:w="2410" w:type="dxa"/>
            <w:gridSpan w:val="2"/>
            <w:tcBorders>
              <w:top w:val="nil"/>
              <w:left w:val="nil"/>
              <w:bottom w:val="single" w:sz="8" w:space="0" w:color="000000"/>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（扣除中央基建投资）</w:t>
            </w:r>
          </w:p>
        </w:tc>
      </w:tr>
      <w:tr>
        <w:trPr>
          <w:trHeight w:val="315"/>
        </w:trPr>
        <w:tc>
          <w:tcPr>
            <w:tcW w:w="941" w:type="dxa"/>
            <w:vMerge w:val="restart"/>
            <w:tcBorders>
              <w:top w:val="nil"/>
              <w:left w:val="single" w:sz="8" w:space="0" w:color="000000"/>
              <w:bottom w:val="single" w:sz="8" w:space="0" w:color="000000"/>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科目编码</w:t>
            </w:r>
          </w:p>
        </w:tc>
        <w:tc>
          <w:tcPr>
            <w:tcW w:w="1909" w:type="dxa"/>
            <w:vMerge w:val="restart"/>
            <w:tcBorders>
              <w:top w:val="nil"/>
              <w:left w:val="single" w:sz="8" w:space="0" w:color="000000"/>
              <w:bottom w:val="single" w:sz="8" w:space="0" w:color="000000"/>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科目名称</w:t>
            </w:r>
          </w:p>
        </w:tc>
        <w:tc>
          <w:tcPr>
            <w:tcW w:w="1134" w:type="dxa"/>
            <w:vMerge w:val="restart"/>
            <w:tcBorders>
              <w:top w:val="nil"/>
              <w:left w:val="single" w:sz="8" w:space="0" w:color="000000"/>
              <w:bottom w:val="nil"/>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执行数</w:t>
            </w:r>
          </w:p>
        </w:tc>
        <w:tc>
          <w:tcPr>
            <w:tcW w:w="1276" w:type="dxa"/>
            <w:vMerge w:val="restart"/>
            <w:tcBorders>
              <w:top w:val="nil"/>
              <w:left w:val="single" w:sz="8" w:space="0" w:color="000000"/>
              <w:bottom w:val="nil"/>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扣除中央基建投资后执行数</w:t>
            </w:r>
          </w:p>
        </w:tc>
        <w:tc>
          <w:tcPr>
            <w:tcW w:w="3686" w:type="dxa"/>
            <w:gridSpan w:val="3"/>
            <w:tcBorders>
              <w:top w:val="single" w:sz="8" w:space="0" w:color="000000"/>
              <w:left w:val="nil"/>
              <w:bottom w:val="single" w:sz="8" w:space="0" w:color="000000"/>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年初预算数</w:t>
            </w:r>
          </w:p>
        </w:tc>
        <w:tc>
          <w:tcPr>
            <w:tcW w:w="1417" w:type="dxa"/>
            <w:vMerge w:val="restart"/>
            <w:tcBorders>
              <w:top w:val="nil"/>
              <w:left w:val="single" w:sz="8" w:space="0" w:color="000000"/>
              <w:bottom w:val="nil"/>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扣除中央基建投资后预算数</w:t>
            </w:r>
          </w:p>
        </w:tc>
        <w:tc>
          <w:tcPr>
            <w:tcW w:w="1134" w:type="dxa"/>
            <w:vMerge w:val="restart"/>
            <w:tcBorders>
              <w:top w:val="nil"/>
              <w:left w:val="single" w:sz="8" w:space="0" w:color="000000"/>
              <w:bottom w:val="nil"/>
              <w:right w:val="single" w:sz="8"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增减额</w:t>
            </w:r>
          </w:p>
        </w:tc>
        <w:tc>
          <w:tcPr>
            <w:tcW w:w="1134" w:type="dxa"/>
            <w:vMerge w:val="restart"/>
            <w:tcBorders>
              <w:top w:val="nil"/>
              <w:left w:val="single" w:sz="8" w:space="0" w:color="000000"/>
              <w:bottom w:val="nil"/>
              <w:right w:val="single" w:sz="8"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增减</w:t>
            </w:r>
            <w:r>
              <w:rPr>
                <w:color w:val="000000"/>
                <w:kern w:val="0"/>
                <w:sz w:val="16"/>
                <w:szCs w:val="16"/>
              </w:rPr>
              <w:t>(%)</w:t>
            </w:r>
          </w:p>
        </w:tc>
        <w:tc>
          <w:tcPr>
            <w:tcW w:w="1276" w:type="dxa"/>
            <w:vMerge w:val="restart"/>
            <w:tcBorders>
              <w:top w:val="nil"/>
              <w:left w:val="single" w:sz="8" w:space="0" w:color="000000"/>
              <w:bottom w:val="nil"/>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增减额</w:t>
            </w:r>
          </w:p>
        </w:tc>
        <w:tc>
          <w:tcPr>
            <w:tcW w:w="1134" w:type="dxa"/>
            <w:vMerge w:val="restart"/>
            <w:tcBorders>
              <w:top w:val="nil"/>
              <w:left w:val="single" w:sz="8" w:space="0" w:color="000000"/>
              <w:bottom w:val="nil"/>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增减</w:t>
            </w:r>
            <w:r>
              <w:rPr>
                <w:color w:val="000000"/>
                <w:kern w:val="0"/>
                <w:sz w:val="16"/>
                <w:szCs w:val="16"/>
              </w:rPr>
              <w:t>(%)</w:t>
            </w:r>
          </w:p>
        </w:tc>
      </w:tr>
      <w:tr>
        <w:trPr>
          <w:trHeight w:val="315"/>
        </w:trPr>
        <w:tc>
          <w:tcPr>
            <w:tcW w:w="941" w:type="dxa"/>
            <w:vMerge/>
            <w:tcBorders>
              <w:top w:val="nil"/>
              <w:left w:val="single" w:sz="8" w:space="0" w:color="000000"/>
              <w:bottom w:val="single" w:sz="8" w:space="0" w:color="000000"/>
              <w:right w:val="single" w:sz="8" w:space="0" w:color="000000"/>
            </w:tcBorders>
            <w:vAlign w:val="center"/>
          </w:tcPr>
          <w:p/>
        </w:tc>
        <w:tc>
          <w:tcPr>
            <w:tcW w:w="1909" w:type="dxa"/>
            <w:vMerge/>
            <w:tcBorders>
              <w:top w:val="nil"/>
              <w:left w:val="single" w:sz="8" w:space="0" w:color="000000"/>
              <w:bottom w:val="single" w:sz="8" w:space="0" w:color="000000"/>
              <w:right w:val="single" w:sz="8" w:space="0" w:color="000000"/>
            </w:tcBorders>
            <w:vAlign w:val="center"/>
          </w:tcPr>
          <w:p/>
        </w:tc>
        <w:tc>
          <w:tcPr>
            <w:tcW w:w="1134" w:type="dxa"/>
            <w:vMerge/>
            <w:tcBorders>
              <w:top w:val="nil"/>
              <w:left w:val="single" w:sz="8" w:space="0" w:color="000000"/>
              <w:bottom w:val="nil"/>
              <w:right w:val="single" w:sz="8" w:space="0" w:color="000000"/>
            </w:tcBorders>
            <w:vAlign w:val="center"/>
          </w:tcPr>
          <w:p/>
        </w:tc>
        <w:tc>
          <w:tcPr>
            <w:tcW w:w="1276" w:type="dxa"/>
            <w:vMerge/>
            <w:tcBorders>
              <w:top w:val="nil"/>
              <w:left w:val="single" w:sz="8" w:space="0" w:color="000000"/>
              <w:bottom w:val="nil"/>
              <w:right w:val="single" w:sz="8" w:space="0" w:color="000000"/>
            </w:tcBorders>
            <w:vAlign w:val="center"/>
          </w:tcPr>
          <w:p/>
        </w:tc>
        <w:tc>
          <w:tcPr>
            <w:tcW w:w="992" w:type="dxa"/>
            <w:tcBorders>
              <w:top w:val="nil"/>
              <w:left w:val="nil"/>
              <w:bottom w:val="nil"/>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小计</w:t>
            </w:r>
          </w:p>
        </w:tc>
        <w:tc>
          <w:tcPr>
            <w:tcW w:w="1418" w:type="dxa"/>
            <w:tcBorders>
              <w:top w:val="nil"/>
              <w:left w:val="nil"/>
              <w:bottom w:val="nil"/>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基本支出</w:t>
            </w:r>
          </w:p>
        </w:tc>
        <w:tc>
          <w:tcPr>
            <w:tcW w:w="1276" w:type="dxa"/>
            <w:tcBorders>
              <w:top w:val="nil"/>
              <w:left w:val="nil"/>
              <w:bottom w:val="nil"/>
              <w:right w:val="single" w:sz="8" w:space="0" w:color="000000"/>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项目支出</w:t>
            </w:r>
          </w:p>
        </w:tc>
        <w:tc>
          <w:tcPr>
            <w:tcW w:w="1417" w:type="dxa"/>
            <w:vMerge/>
            <w:tcBorders>
              <w:top w:val="nil"/>
              <w:left w:val="single" w:sz="8" w:space="0" w:color="000000"/>
              <w:bottom w:val="nil"/>
              <w:right w:val="single" w:sz="8" w:space="0" w:color="000000"/>
            </w:tcBorders>
            <w:vAlign w:val="center"/>
          </w:tcPr>
          <w:p/>
        </w:tc>
        <w:tc>
          <w:tcPr>
            <w:tcW w:w="1134" w:type="dxa"/>
            <w:vMerge/>
            <w:tcBorders>
              <w:top w:val="nil"/>
              <w:left w:val="single" w:sz="8" w:space="0" w:color="000000"/>
              <w:bottom w:val="nil"/>
              <w:right w:val="single" w:sz="8" w:space="0" w:color="000000"/>
            </w:tcBorders>
            <w:vAlign w:val="center"/>
          </w:tcPr>
          <w:p/>
        </w:tc>
        <w:tc>
          <w:tcPr>
            <w:tcW w:w="1134" w:type="dxa"/>
            <w:vMerge/>
            <w:tcBorders>
              <w:top w:val="nil"/>
              <w:left w:val="single" w:sz="8" w:space="0" w:color="000000"/>
              <w:bottom w:val="nil"/>
              <w:right w:val="single" w:sz="8" w:space="0" w:color="000000"/>
            </w:tcBorders>
            <w:vAlign w:val="center"/>
          </w:tcPr>
          <w:p/>
        </w:tc>
        <w:tc>
          <w:tcPr>
            <w:tcW w:w="1276" w:type="dxa"/>
            <w:vMerge/>
            <w:tcBorders>
              <w:top w:val="nil"/>
              <w:left w:val="single" w:sz="8" w:space="0" w:color="000000"/>
              <w:bottom w:val="nil"/>
              <w:right w:val="single" w:sz="8" w:space="0" w:color="000000"/>
            </w:tcBorders>
            <w:vAlign w:val="center"/>
          </w:tcPr>
          <w:p/>
        </w:tc>
        <w:tc>
          <w:tcPr>
            <w:tcW w:w="1134" w:type="dxa"/>
            <w:vMerge/>
            <w:tcBorders>
              <w:top w:val="nil"/>
              <w:left w:val="single" w:sz="8" w:space="0" w:color="000000"/>
              <w:bottom w:val="nil"/>
              <w:right w:val="single" w:sz="8" w:space="0" w:color="000000"/>
            </w:tcBorders>
            <w:vAlign w:val="center"/>
          </w:tcPr>
          <w:p/>
        </w:tc>
      </w:tr>
      <w:tr>
        <w:trPr>
          <w:trHeight w:val="465"/>
        </w:trPr>
        <w:tc>
          <w:tcPr>
            <w:tcW w:w="941" w:type="dxa"/>
            <w:tcBorders>
              <w:top w:val="nil"/>
              <w:left w:val="single" w:sz="8" w:space="0" w:color="000000"/>
              <w:bottom w:val="single" w:sz="8" w:space="0" w:color="000000"/>
              <w:right w:val="single" w:sz="8" w:space="0" w:color="000000"/>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201</w:t>
            </w:r>
          </w:p>
        </w:tc>
        <w:tc>
          <w:tcPr>
            <w:tcW w:w="1909" w:type="dxa"/>
            <w:tcBorders>
              <w:top w:val="nil"/>
              <w:left w:val="nil"/>
              <w:bottom w:val="single" w:sz="8" w:space="0" w:color="000000"/>
              <w:right w:val="nil"/>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一般公共服务支出</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62.69</w:t>
            </w:r>
          </w:p>
        </w:tc>
        <w:tc>
          <w:tcPr>
            <w:tcW w:w="1276" w:type="dxa"/>
            <w:tcBorders>
              <w:top w:val="single" w:sz="4" w:space="0" w:color="auto"/>
              <w:left w:val="nil"/>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62.69</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78.00</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78.00</w:t>
            </w:r>
          </w:p>
        </w:tc>
        <w:tc>
          <w:tcPr>
            <w:tcW w:w="1276" w:type="dxa"/>
            <w:tcBorders>
              <w:top w:val="single" w:sz="4" w:space="0" w:color="auto"/>
              <w:left w:val="nil"/>
              <w:bottom w:val="single" w:sz="4" w:space="0" w:color="auto"/>
              <w:right w:val="single" w:sz="4" w:space="0" w:color="auto"/>
            </w:tcBorders>
            <w:shd w:val="clear" w:color="000000" w:fill="FFFFFF"/>
            <w:vAlign w:val="center"/>
          </w:tcPr>
          <w:p>
            <w:pPr>
              <w:widowControl/>
              <w:jc w:val="right"/>
              <w:rPr>
                <w:b/>
                <w:bCs/>
                <w:kern w:val="0"/>
                <w:sz w:val="16"/>
                <w:szCs w:val="16"/>
              </w:rPr>
            </w:pPr>
            <w:r>
              <w:rPr>
                <w:b/>
                <w:bCs/>
                <w:kern w:val="0"/>
                <w:sz w:val="16"/>
                <w:szCs w:val="16"/>
              </w:rPr>
              <w:t>　</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78.00</w:t>
            </w: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 xml:space="preserve">15.31 </w:t>
            </w: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19.63%</w:t>
            </w: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15.31</w:t>
            </w: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19.63%</w:t>
            </w:r>
          </w:p>
        </w:tc>
      </w:tr>
      <w:tr>
        <w:trPr>
          <w:trHeight w:val="315"/>
        </w:trPr>
        <w:tc>
          <w:tcPr>
            <w:tcW w:w="941" w:type="dxa"/>
            <w:tcBorders>
              <w:top w:val="nil"/>
              <w:left w:val="single" w:sz="8" w:space="0" w:color="000000"/>
              <w:bottom w:val="single" w:sz="8" w:space="0" w:color="000000"/>
              <w:right w:val="single" w:sz="8" w:space="0" w:color="000000"/>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20109</w:t>
            </w:r>
          </w:p>
        </w:tc>
        <w:tc>
          <w:tcPr>
            <w:tcW w:w="1909" w:type="dxa"/>
            <w:tcBorders>
              <w:top w:val="nil"/>
              <w:left w:val="nil"/>
              <w:bottom w:val="single" w:sz="8" w:space="0" w:color="000000"/>
              <w:right w:val="nil"/>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海关事务</w:t>
            </w:r>
          </w:p>
        </w:tc>
        <w:tc>
          <w:tcPr>
            <w:tcW w:w="1134" w:type="dxa"/>
            <w:tcBorders>
              <w:top w:val="nil"/>
              <w:left w:val="single" w:sz="4" w:space="0" w:color="auto"/>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62.69</w:t>
            </w:r>
          </w:p>
        </w:tc>
        <w:tc>
          <w:tcPr>
            <w:tcW w:w="1276" w:type="dxa"/>
            <w:tcBorders>
              <w:top w:val="nil"/>
              <w:left w:val="nil"/>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62.69</w:t>
            </w:r>
          </w:p>
        </w:tc>
        <w:tc>
          <w:tcPr>
            <w:tcW w:w="992"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78.00</w:t>
            </w:r>
          </w:p>
        </w:tc>
        <w:tc>
          <w:tcPr>
            <w:tcW w:w="1418"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78.00</w:t>
            </w:r>
          </w:p>
        </w:tc>
        <w:tc>
          <w:tcPr>
            <w:tcW w:w="1276" w:type="dxa"/>
            <w:tcBorders>
              <w:top w:val="nil"/>
              <w:left w:val="nil"/>
              <w:bottom w:val="single" w:sz="4" w:space="0" w:color="auto"/>
              <w:right w:val="single" w:sz="4" w:space="0" w:color="auto"/>
            </w:tcBorders>
            <w:shd w:val="clear" w:color="000000" w:fill="FFFFFF"/>
            <w:vAlign w:val="center"/>
          </w:tcPr>
          <w:p>
            <w:pPr>
              <w:widowControl/>
              <w:jc w:val="right"/>
              <w:rPr>
                <w:b/>
                <w:bCs/>
                <w:kern w:val="0"/>
                <w:sz w:val="16"/>
                <w:szCs w:val="16"/>
              </w:rPr>
            </w:pPr>
            <w:r>
              <w:rPr>
                <w:b/>
                <w:bCs/>
                <w:kern w:val="0"/>
                <w:sz w:val="16"/>
                <w:szCs w:val="16"/>
              </w:rPr>
              <w:t>　</w:t>
            </w:r>
          </w:p>
        </w:tc>
        <w:tc>
          <w:tcPr>
            <w:tcW w:w="1417"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78.00</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 xml:space="preserve">15.31 </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19.63%</w:t>
            </w:r>
          </w:p>
        </w:tc>
        <w:tc>
          <w:tcPr>
            <w:tcW w:w="1276"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15.31</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19.63%</w:t>
            </w:r>
          </w:p>
        </w:tc>
      </w:tr>
      <w:tr>
        <w:trPr>
          <w:trHeight w:val="315"/>
        </w:trPr>
        <w:tc>
          <w:tcPr>
            <w:tcW w:w="941" w:type="dxa"/>
            <w:tcBorders>
              <w:top w:val="nil"/>
              <w:left w:val="single" w:sz="8" w:space="0" w:color="000000"/>
              <w:bottom w:val="single" w:sz="8" w:space="0" w:color="000000"/>
              <w:right w:val="single" w:sz="8" w:space="0" w:color="000000"/>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2010903</w:t>
            </w:r>
          </w:p>
        </w:tc>
        <w:tc>
          <w:tcPr>
            <w:tcW w:w="1909" w:type="dxa"/>
            <w:tcBorders>
              <w:top w:val="nil"/>
              <w:left w:val="nil"/>
              <w:bottom w:val="single" w:sz="8" w:space="0" w:color="000000"/>
              <w:right w:val="nil"/>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机关服务</w:t>
            </w:r>
          </w:p>
        </w:tc>
        <w:tc>
          <w:tcPr>
            <w:tcW w:w="1134" w:type="dxa"/>
            <w:tcBorders>
              <w:top w:val="nil"/>
              <w:left w:val="single" w:sz="4" w:space="0" w:color="auto"/>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62.69</w:t>
            </w:r>
          </w:p>
        </w:tc>
        <w:tc>
          <w:tcPr>
            <w:tcW w:w="1276" w:type="dxa"/>
            <w:tcBorders>
              <w:top w:val="nil"/>
              <w:left w:val="nil"/>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62.69</w:t>
            </w:r>
          </w:p>
        </w:tc>
        <w:tc>
          <w:tcPr>
            <w:tcW w:w="992"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78.00</w:t>
            </w:r>
          </w:p>
        </w:tc>
        <w:tc>
          <w:tcPr>
            <w:tcW w:w="1418"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78.00</w:t>
            </w:r>
          </w:p>
        </w:tc>
        <w:tc>
          <w:tcPr>
            <w:tcW w:w="1276" w:type="dxa"/>
            <w:tcBorders>
              <w:top w:val="nil"/>
              <w:left w:val="nil"/>
              <w:bottom w:val="single" w:sz="4" w:space="0" w:color="auto"/>
              <w:right w:val="single" w:sz="4" w:space="0" w:color="auto"/>
            </w:tcBorders>
            <w:shd w:val="clear" w:color="000000" w:fill="FFFFFF"/>
            <w:vAlign w:val="bottom"/>
          </w:tcPr>
          <w:p>
            <w:pPr>
              <w:widowControl/>
              <w:jc w:val="right"/>
              <w:rPr>
                <w:kern w:val="0"/>
                <w:sz w:val="16"/>
                <w:szCs w:val="16"/>
              </w:rPr>
            </w:pPr>
            <w:r>
              <w:rPr>
                <w:kern w:val="0"/>
                <w:sz w:val="16"/>
                <w:szCs w:val="16"/>
              </w:rPr>
              <w:t>　</w:t>
            </w:r>
          </w:p>
        </w:tc>
        <w:tc>
          <w:tcPr>
            <w:tcW w:w="1417"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78.00</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 xml:space="preserve">15.31 </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19.63%</w:t>
            </w:r>
          </w:p>
        </w:tc>
        <w:tc>
          <w:tcPr>
            <w:tcW w:w="1276"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15.31</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19.63%</w:t>
            </w:r>
          </w:p>
        </w:tc>
      </w:tr>
      <w:tr>
        <w:trPr>
          <w:trHeight w:val="465"/>
        </w:trPr>
        <w:tc>
          <w:tcPr>
            <w:tcW w:w="941" w:type="dxa"/>
            <w:tcBorders>
              <w:top w:val="nil"/>
              <w:left w:val="single" w:sz="8" w:space="0" w:color="000000"/>
              <w:bottom w:val="single" w:sz="8" w:space="0" w:color="000000"/>
              <w:right w:val="single" w:sz="8" w:space="0" w:color="000000"/>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208</w:t>
            </w:r>
          </w:p>
        </w:tc>
        <w:tc>
          <w:tcPr>
            <w:tcW w:w="1909" w:type="dxa"/>
            <w:tcBorders>
              <w:top w:val="nil"/>
              <w:left w:val="nil"/>
              <w:bottom w:val="single" w:sz="8" w:space="0" w:color="000000"/>
              <w:right w:val="nil"/>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社会保障和就业支出</w:t>
            </w:r>
          </w:p>
        </w:tc>
        <w:tc>
          <w:tcPr>
            <w:tcW w:w="1134" w:type="dxa"/>
            <w:tcBorders>
              <w:top w:val="nil"/>
              <w:left w:val="single" w:sz="4" w:space="0" w:color="auto"/>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55.76</w:t>
            </w:r>
          </w:p>
        </w:tc>
        <w:tc>
          <w:tcPr>
            <w:tcW w:w="1276" w:type="dxa"/>
            <w:tcBorders>
              <w:top w:val="nil"/>
              <w:left w:val="nil"/>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55.76</w:t>
            </w:r>
          </w:p>
        </w:tc>
        <w:tc>
          <w:tcPr>
            <w:tcW w:w="992"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76.93</w:t>
            </w:r>
          </w:p>
        </w:tc>
        <w:tc>
          <w:tcPr>
            <w:tcW w:w="1418"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76.93</w:t>
            </w:r>
          </w:p>
        </w:tc>
        <w:tc>
          <w:tcPr>
            <w:tcW w:w="1276" w:type="dxa"/>
            <w:tcBorders>
              <w:top w:val="nil"/>
              <w:left w:val="nil"/>
              <w:bottom w:val="single" w:sz="4" w:space="0" w:color="auto"/>
              <w:right w:val="single" w:sz="4" w:space="0" w:color="auto"/>
            </w:tcBorders>
            <w:shd w:val="clear" w:color="000000" w:fill="FFFFFF"/>
            <w:vAlign w:val="center"/>
          </w:tcPr>
          <w:p>
            <w:pPr>
              <w:widowControl/>
              <w:jc w:val="right"/>
              <w:rPr>
                <w:kern w:val="0"/>
                <w:sz w:val="16"/>
                <w:szCs w:val="16"/>
              </w:rPr>
            </w:pPr>
            <w:r>
              <w:rPr>
                <w:kern w:val="0"/>
                <w:sz w:val="16"/>
                <w:szCs w:val="16"/>
              </w:rPr>
              <w:t>　</w:t>
            </w:r>
          </w:p>
        </w:tc>
        <w:tc>
          <w:tcPr>
            <w:tcW w:w="1417"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76.93</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 xml:space="preserve">21.17 </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27.52%</w:t>
            </w:r>
          </w:p>
        </w:tc>
        <w:tc>
          <w:tcPr>
            <w:tcW w:w="1276"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21.17</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27.52%</w:t>
            </w:r>
          </w:p>
        </w:tc>
      </w:tr>
      <w:tr>
        <w:trPr>
          <w:trHeight w:val="465"/>
        </w:trPr>
        <w:tc>
          <w:tcPr>
            <w:tcW w:w="941" w:type="dxa"/>
            <w:tcBorders>
              <w:top w:val="nil"/>
              <w:left w:val="single" w:sz="8" w:space="0" w:color="000000"/>
              <w:bottom w:val="single" w:sz="8" w:space="0" w:color="000000"/>
              <w:right w:val="single" w:sz="8" w:space="0" w:color="000000"/>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20805</w:t>
            </w:r>
          </w:p>
        </w:tc>
        <w:tc>
          <w:tcPr>
            <w:tcW w:w="1909" w:type="dxa"/>
            <w:tcBorders>
              <w:top w:val="nil"/>
              <w:left w:val="nil"/>
              <w:bottom w:val="single" w:sz="8" w:space="0" w:color="000000"/>
              <w:right w:val="nil"/>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行政事业单位养老支出</w:t>
            </w:r>
          </w:p>
        </w:tc>
        <w:tc>
          <w:tcPr>
            <w:tcW w:w="1134" w:type="dxa"/>
            <w:tcBorders>
              <w:top w:val="nil"/>
              <w:left w:val="single" w:sz="4" w:space="0" w:color="auto"/>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55.76</w:t>
            </w:r>
          </w:p>
        </w:tc>
        <w:tc>
          <w:tcPr>
            <w:tcW w:w="1276" w:type="dxa"/>
            <w:tcBorders>
              <w:top w:val="nil"/>
              <w:left w:val="nil"/>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55.76</w:t>
            </w:r>
          </w:p>
        </w:tc>
        <w:tc>
          <w:tcPr>
            <w:tcW w:w="992"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76.93</w:t>
            </w:r>
          </w:p>
        </w:tc>
        <w:tc>
          <w:tcPr>
            <w:tcW w:w="1418"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76.93</w:t>
            </w:r>
          </w:p>
        </w:tc>
        <w:tc>
          <w:tcPr>
            <w:tcW w:w="1276" w:type="dxa"/>
            <w:tcBorders>
              <w:top w:val="nil"/>
              <w:left w:val="nil"/>
              <w:bottom w:val="single" w:sz="4" w:space="0" w:color="auto"/>
              <w:right w:val="single" w:sz="4" w:space="0" w:color="auto"/>
            </w:tcBorders>
            <w:shd w:val="clear" w:color="000000" w:fill="FFFFFF"/>
            <w:vAlign w:val="bottom"/>
          </w:tcPr>
          <w:p>
            <w:pPr>
              <w:widowControl/>
              <w:jc w:val="right"/>
              <w:rPr>
                <w:kern w:val="0"/>
                <w:sz w:val="16"/>
                <w:szCs w:val="16"/>
              </w:rPr>
            </w:pPr>
            <w:r>
              <w:rPr>
                <w:kern w:val="0"/>
                <w:sz w:val="16"/>
                <w:szCs w:val="16"/>
              </w:rPr>
              <w:t>　</w:t>
            </w:r>
          </w:p>
        </w:tc>
        <w:tc>
          <w:tcPr>
            <w:tcW w:w="1417"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76.93</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 xml:space="preserve">21.17 </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27.52%</w:t>
            </w:r>
          </w:p>
        </w:tc>
        <w:tc>
          <w:tcPr>
            <w:tcW w:w="1276"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21.17</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27.52%</w:t>
            </w:r>
          </w:p>
        </w:tc>
      </w:tr>
      <w:tr>
        <w:trPr>
          <w:trHeight w:val="885"/>
        </w:trPr>
        <w:tc>
          <w:tcPr>
            <w:tcW w:w="941" w:type="dxa"/>
            <w:tcBorders>
              <w:top w:val="nil"/>
              <w:left w:val="single" w:sz="8" w:space="0" w:color="000000"/>
              <w:bottom w:val="single" w:sz="8" w:space="0" w:color="000000"/>
              <w:right w:val="single" w:sz="8" w:space="0" w:color="000000"/>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2080505</w:t>
            </w:r>
          </w:p>
        </w:tc>
        <w:tc>
          <w:tcPr>
            <w:tcW w:w="1909" w:type="dxa"/>
            <w:tcBorders>
              <w:top w:val="nil"/>
              <w:left w:val="nil"/>
              <w:bottom w:val="single" w:sz="8" w:space="0" w:color="000000"/>
              <w:right w:val="nil"/>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机关事业单位·基本养老保险缴费支出</w:t>
            </w:r>
          </w:p>
        </w:tc>
        <w:tc>
          <w:tcPr>
            <w:tcW w:w="1134" w:type="dxa"/>
            <w:tcBorders>
              <w:top w:val="nil"/>
              <w:left w:val="single" w:sz="4" w:space="0" w:color="auto"/>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37.17</w:t>
            </w:r>
          </w:p>
        </w:tc>
        <w:tc>
          <w:tcPr>
            <w:tcW w:w="1276" w:type="dxa"/>
            <w:tcBorders>
              <w:top w:val="nil"/>
              <w:left w:val="nil"/>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37.17</w:t>
            </w:r>
          </w:p>
        </w:tc>
        <w:tc>
          <w:tcPr>
            <w:tcW w:w="992"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50.96</w:t>
            </w:r>
          </w:p>
        </w:tc>
        <w:tc>
          <w:tcPr>
            <w:tcW w:w="1418"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50.96</w:t>
            </w:r>
          </w:p>
        </w:tc>
        <w:tc>
          <w:tcPr>
            <w:tcW w:w="1276" w:type="dxa"/>
            <w:tcBorders>
              <w:top w:val="nil"/>
              <w:left w:val="nil"/>
              <w:bottom w:val="single" w:sz="4" w:space="0" w:color="auto"/>
              <w:right w:val="single" w:sz="4" w:space="0" w:color="auto"/>
            </w:tcBorders>
            <w:shd w:val="clear" w:color="000000" w:fill="FFFFFF"/>
            <w:vAlign w:val="center"/>
          </w:tcPr>
          <w:p>
            <w:pPr>
              <w:widowControl/>
              <w:jc w:val="right"/>
              <w:rPr>
                <w:kern w:val="0"/>
                <w:sz w:val="16"/>
                <w:szCs w:val="16"/>
              </w:rPr>
            </w:pPr>
            <w:r>
              <w:rPr>
                <w:kern w:val="0"/>
                <w:sz w:val="16"/>
                <w:szCs w:val="16"/>
              </w:rPr>
              <w:t>　</w:t>
            </w:r>
          </w:p>
        </w:tc>
        <w:tc>
          <w:tcPr>
            <w:tcW w:w="1417"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50.96</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 xml:space="preserve">13.79 </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27.06%</w:t>
            </w:r>
          </w:p>
        </w:tc>
        <w:tc>
          <w:tcPr>
            <w:tcW w:w="1276"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13.79</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27.06%</w:t>
            </w:r>
          </w:p>
        </w:tc>
      </w:tr>
      <w:tr>
        <w:trPr>
          <w:trHeight w:val="675"/>
        </w:trPr>
        <w:tc>
          <w:tcPr>
            <w:tcW w:w="941" w:type="dxa"/>
            <w:tcBorders>
              <w:top w:val="nil"/>
              <w:left w:val="single" w:sz="8" w:space="0" w:color="000000"/>
              <w:bottom w:val="single" w:sz="8" w:space="0" w:color="000000"/>
              <w:right w:val="single" w:sz="8" w:space="0" w:color="000000"/>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2080506</w:t>
            </w:r>
          </w:p>
        </w:tc>
        <w:tc>
          <w:tcPr>
            <w:tcW w:w="1909" w:type="dxa"/>
            <w:tcBorders>
              <w:top w:val="nil"/>
              <w:left w:val="nil"/>
              <w:bottom w:val="single" w:sz="8" w:space="0" w:color="000000"/>
              <w:right w:val="nil"/>
            </w:tcBorders>
            <w:shd w:val="clear" w:color="auto" w:fill="auto"/>
            <w:vAlign w:val="bottom"/>
          </w:tcPr>
          <w:p>
            <w:pPr>
              <w:widowControl/>
              <w:jc w:val="left"/>
              <w:rPr>
                <w:rFonts w:ascii="宋体" w:cs="宋体"/>
                <w:kern w:val="0"/>
                <w:sz w:val="16"/>
                <w:szCs w:val="16"/>
              </w:rPr>
            </w:pPr>
            <w:r>
              <w:rPr>
                <w:rFonts w:ascii="宋体" w:cs="宋体" w:hint="eastAsia"/>
                <w:kern w:val="0"/>
                <w:sz w:val="16"/>
                <w:szCs w:val="16"/>
              </w:rPr>
              <w:t>机关事业单位职业年金缴费支出</w:t>
            </w:r>
          </w:p>
        </w:tc>
        <w:tc>
          <w:tcPr>
            <w:tcW w:w="1134" w:type="dxa"/>
            <w:tcBorders>
              <w:top w:val="nil"/>
              <w:left w:val="single" w:sz="4" w:space="0" w:color="auto"/>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18.59</w:t>
            </w:r>
          </w:p>
        </w:tc>
        <w:tc>
          <w:tcPr>
            <w:tcW w:w="1276" w:type="dxa"/>
            <w:tcBorders>
              <w:top w:val="nil"/>
              <w:left w:val="nil"/>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18.59</w:t>
            </w:r>
          </w:p>
        </w:tc>
        <w:tc>
          <w:tcPr>
            <w:tcW w:w="992"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25.97</w:t>
            </w:r>
          </w:p>
        </w:tc>
        <w:tc>
          <w:tcPr>
            <w:tcW w:w="1418"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25.97</w:t>
            </w:r>
          </w:p>
        </w:tc>
        <w:tc>
          <w:tcPr>
            <w:tcW w:w="1276" w:type="dxa"/>
            <w:tcBorders>
              <w:top w:val="nil"/>
              <w:left w:val="nil"/>
              <w:bottom w:val="single" w:sz="4" w:space="0" w:color="auto"/>
              <w:right w:val="single" w:sz="4" w:space="0" w:color="auto"/>
            </w:tcBorders>
            <w:shd w:val="clear" w:color="000000" w:fill="FFFFFF"/>
            <w:vAlign w:val="center"/>
          </w:tcPr>
          <w:p>
            <w:pPr>
              <w:widowControl/>
              <w:jc w:val="right"/>
              <w:rPr>
                <w:kern w:val="0"/>
                <w:sz w:val="16"/>
                <w:szCs w:val="16"/>
              </w:rPr>
            </w:pPr>
            <w:r>
              <w:rPr>
                <w:kern w:val="0"/>
                <w:sz w:val="16"/>
                <w:szCs w:val="16"/>
              </w:rPr>
              <w:t>　</w:t>
            </w:r>
          </w:p>
        </w:tc>
        <w:tc>
          <w:tcPr>
            <w:tcW w:w="1417"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25.97</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 xml:space="preserve">7.38 </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28.42%</w:t>
            </w:r>
          </w:p>
        </w:tc>
        <w:tc>
          <w:tcPr>
            <w:tcW w:w="1276"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7.38</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28.42%</w:t>
            </w:r>
          </w:p>
        </w:tc>
      </w:tr>
      <w:tr>
        <w:trPr>
          <w:trHeight w:val="465"/>
        </w:trPr>
        <w:tc>
          <w:tcPr>
            <w:tcW w:w="941" w:type="dxa"/>
            <w:tcBorders>
              <w:top w:val="nil"/>
              <w:left w:val="single" w:sz="8" w:space="0" w:color="000000"/>
              <w:bottom w:val="single" w:sz="8" w:space="0" w:color="000000"/>
              <w:right w:val="single" w:sz="8" w:space="0" w:color="000000"/>
            </w:tcBorders>
            <w:shd w:val="clear" w:color="auto" w:fill="auto"/>
            <w:vAlign w:val="bottom"/>
          </w:tcPr>
          <w:p>
            <w:pPr>
              <w:widowControl/>
              <w:rPr>
                <w:kern w:val="0"/>
                <w:sz w:val="16"/>
                <w:szCs w:val="16"/>
              </w:rPr>
            </w:pPr>
            <w:r>
              <w:rPr>
                <w:kern w:val="0"/>
                <w:sz w:val="16"/>
                <w:szCs w:val="16"/>
              </w:rPr>
              <w:t>221</w:t>
            </w:r>
          </w:p>
        </w:tc>
        <w:tc>
          <w:tcPr>
            <w:tcW w:w="1909" w:type="dxa"/>
            <w:tcBorders>
              <w:top w:val="nil"/>
              <w:left w:val="nil"/>
              <w:bottom w:val="single" w:sz="8" w:space="0" w:color="000000"/>
              <w:right w:val="nil"/>
            </w:tcBorders>
            <w:shd w:val="clear" w:color="auto" w:fill="auto"/>
            <w:vAlign w:val="bottom"/>
          </w:tcPr>
          <w:p>
            <w:pPr>
              <w:widowControl/>
              <w:rPr>
                <w:rFonts w:ascii="宋体" w:cs="宋体"/>
                <w:kern w:val="0"/>
                <w:sz w:val="16"/>
                <w:szCs w:val="16"/>
              </w:rPr>
            </w:pPr>
            <w:r>
              <w:rPr>
                <w:rFonts w:ascii="宋体" w:cs="宋体" w:hint="eastAsia"/>
                <w:kern w:val="0"/>
                <w:sz w:val="16"/>
                <w:szCs w:val="16"/>
              </w:rPr>
              <w:t>住房保障支出</w:t>
            </w:r>
          </w:p>
        </w:tc>
        <w:tc>
          <w:tcPr>
            <w:tcW w:w="1134" w:type="dxa"/>
            <w:tcBorders>
              <w:top w:val="nil"/>
              <w:left w:val="single" w:sz="4" w:space="0" w:color="auto"/>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25.8</w:t>
            </w:r>
          </w:p>
        </w:tc>
        <w:tc>
          <w:tcPr>
            <w:tcW w:w="1276" w:type="dxa"/>
            <w:tcBorders>
              <w:top w:val="nil"/>
              <w:left w:val="nil"/>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25.8</w:t>
            </w:r>
          </w:p>
        </w:tc>
        <w:tc>
          <w:tcPr>
            <w:tcW w:w="992"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22.08</w:t>
            </w:r>
          </w:p>
        </w:tc>
        <w:tc>
          <w:tcPr>
            <w:tcW w:w="1418"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22.08</w:t>
            </w:r>
          </w:p>
        </w:tc>
        <w:tc>
          <w:tcPr>
            <w:tcW w:w="1276" w:type="dxa"/>
            <w:tcBorders>
              <w:top w:val="nil"/>
              <w:left w:val="nil"/>
              <w:bottom w:val="single" w:sz="4" w:space="0" w:color="auto"/>
              <w:right w:val="single" w:sz="4" w:space="0" w:color="auto"/>
            </w:tcBorders>
            <w:shd w:val="clear" w:color="000000" w:fill="FFFFFF"/>
            <w:vAlign w:val="center"/>
          </w:tcPr>
          <w:p>
            <w:pPr>
              <w:widowControl/>
              <w:jc w:val="right"/>
              <w:rPr>
                <w:kern w:val="0"/>
                <w:sz w:val="16"/>
                <w:szCs w:val="16"/>
              </w:rPr>
            </w:pPr>
            <w:r>
              <w:rPr>
                <w:kern w:val="0"/>
                <w:sz w:val="16"/>
                <w:szCs w:val="16"/>
              </w:rPr>
              <w:t>　</w:t>
            </w:r>
          </w:p>
        </w:tc>
        <w:tc>
          <w:tcPr>
            <w:tcW w:w="1417"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22.08</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 xml:space="preserve">-3.72 </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-16.85%</w:t>
            </w:r>
          </w:p>
        </w:tc>
        <w:tc>
          <w:tcPr>
            <w:tcW w:w="1276" w:type="dxa"/>
            <w:tcBorders>
              <w:top w:val="nil"/>
              <w:left w:val="nil"/>
              <w:bottom w:val="single" w:sz="4" w:space="0" w:color="auto"/>
              <w:right w:val="single" w:sz="4" w:space="0" w:color="auto"/>
            </w:tcBorders>
            <w:shd w:val="clear" w:color="auto" w:fill="auto"/>
            <w:vAlign w:val="center"/>
          </w:tcPr>
          <w:p>
            <w:pPr>
              <w:widowControl/>
              <w:jc w:val="right"/>
              <w:rPr>
                <w:kern w:val="0"/>
                <w:sz w:val="16"/>
                <w:szCs w:val="16"/>
              </w:rPr>
            </w:pPr>
            <w:r>
              <w:rPr>
                <w:kern w:val="0"/>
                <w:sz w:val="16"/>
                <w:szCs w:val="16"/>
              </w:rPr>
              <w:t>-3.72</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-16.85%</w:t>
            </w:r>
          </w:p>
        </w:tc>
      </w:tr>
      <w:tr>
        <w:trPr>
          <w:trHeight w:val="465"/>
        </w:trPr>
        <w:tc>
          <w:tcPr>
            <w:tcW w:w="941" w:type="dxa"/>
            <w:tcBorders>
              <w:top w:val="nil"/>
              <w:left w:val="single" w:sz="8" w:space="0" w:color="000000"/>
              <w:bottom w:val="single" w:sz="8" w:space="0" w:color="000000"/>
              <w:right w:val="single" w:sz="8" w:space="0" w:color="000000"/>
            </w:tcBorders>
            <w:shd w:val="clear" w:color="auto" w:fill="auto"/>
            <w:vAlign w:val="bottom"/>
          </w:tcPr>
          <w:p>
            <w:pPr>
              <w:widowControl/>
              <w:rPr>
                <w:kern w:val="0"/>
                <w:sz w:val="16"/>
                <w:szCs w:val="16"/>
              </w:rPr>
            </w:pPr>
            <w:r>
              <w:rPr>
                <w:kern w:val="0"/>
                <w:sz w:val="16"/>
                <w:szCs w:val="16"/>
              </w:rPr>
              <w:t>22102</w:t>
            </w:r>
          </w:p>
        </w:tc>
        <w:tc>
          <w:tcPr>
            <w:tcW w:w="1909" w:type="dxa"/>
            <w:tcBorders>
              <w:top w:val="nil"/>
              <w:left w:val="nil"/>
              <w:bottom w:val="single" w:sz="8" w:space="0" w:color="000000"/>
              <w:right w:val="nil"/>
            </w:tcBorders>
            <w:shd w:val="clear" w:color="auto" w:fill="auto"/>
            <w:vAlign w:val="bottom"/>
          </w:tcPr>
          <w:p>
            <w:pPr>
              <w:widowControl/>
              <w:rPr>
                <w:rFonts w:ascii="宋体" w:cs="宋体"/>
                <w:kern w:val="0"/>
                <w:sz w:val="16"/>
                <w:szCs w:val="16"/>
              </w:rPr>
            </w:pPr>
            <w:r>
              <w:rPr>
                <w:rFonts w:ascii="宋体" w:cs="宋体" w:hint="eastAsia"/>
                <w:kern w:val="0"/>
                <w:sz w:val="16"/>
                <w:szCs w:val="16"/>
              </w:rPr>
              <w:t>住房改革支出</w:t>
            </w:r>
          </w:p>
        </w:tc>
        <w:tc>
          <w:tcPr>
            <w:tcW w:w="1134" w:type="dxa"/>
            <w:tcBorders>
              <w:top w:val="nil"/>
              <w:left w:val="single" w:sz="4" w:space="0" w:color="auto"/>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25.8</w:t>
            </w:r>
          </w:p>
        </w:tc>
        <w:tc>
          <w:tcPr>
            <w:tcW w:w="1276" w:type="dxa"/>
            <w:tcBorders>
              <w:top w:val="nil"/>
              <w:left w:val="nil"/>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25.8</w:t>
            </w:r>
          </w:p>
        </w:tc>
        <w:tc>
          <w:tcPr>
            <w:tcW w:w="992"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22.08</w:t>
            </w:r>
          </w:p>
        </w:tc>
        <w:tc>
          <w:tcPr>
            <w:tcW w:w="1418"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22.08</w:t>
            </w:r>
          </w:p>
        </w:tc>
        <w:tc>
          <w:tcPr>
            <w:tcW w:w="1276" w:type="dxa"/>
            <w:tcBorders>
              <w:top w:val="nil"/>
              <w:left w:val="nil"/>
              <w:bottom w:val="single" w:sz="4" w:space="0" w:color="auto"/>
              <w:right w:val="single" w:sz="4" w:space="0" w:color="auto"/>
            </w:tcBorders>
            <w:shd w:val="clear" w:color="000000" w:fill="FFFFFF"/>
            <w:vAlign w:val="center"/>
          </w:tcPr>
          <w:p>
            <w:pPr>
              <w:widowControl/>
              <w:jc w:val="right"/>
              <w:rPr>
                <w:kern w:val="0"/>
                <w:sz w:val="16"/>
                <w:szCs w:val="16"/>
              </w:rPr>
            </w:pPr>
            <w:r>
              <w:rPr>
                <w:kern w:val="0"/>
                <w:sz w:val="16"/>
                <w:szCs w:val="16"/>
              </w:rPr>
              <w:t>　</w:t>
            </w:r>
          </w:p>
        </w:tc>
        <w:tc>
          <w:tcPr>
            <w:tcW w:w="1417"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22.08</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 xml:space="preserve">-3.72 </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-16.85%</w:t>
            </w:r>
          </w:p>
        </w:tc>
        <w:tc>
          <w:tcPr>
            <w:tcW w:w="1276" w:type="dxa"/>
            <w:tcBorders>
              <w:top w:val="nil"/>
              <w:left w:val="nil"/>
              <w:bottom w:val="single" w:sz="4" w:space="0" w:color="auto"/>
              <w:right w:val="single" w:sz="4" w:space="0" w:color="auto"/>
            </w:tcBorders>
            <w:shd w:val="clear" w:color="auto" w:fill="auto"/>
            <w:vAlign w:val="center"/>
          </w:tcPr>
          <w:p>
            <w:pPr>
              <w:widowControl/>
              <w:jc w:val="right"/>
              <w:rPr>
                <w:kern w:val="0"/>
                <w:sz w:val="16"/>
                <w:szCs w:val="16"/>
              </w:rPr>
            </w:pPr>
            <w:r>
              <w:rPr>
                <w:kern w:val="0"/>
                <w:sz w:val="16"/>
                <w:szCs w:val="16"/>
              </w:rPr>
              <w:t>-3.72</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-16.85%</w:t>
            </w:r>
          </w:p>
        </w:tc>
      </w:tr>
      <w:tr>
        <w:trPr>
          <w:trHeight w:val="315"/>
        </w:trPr>
        <w:tc>
          <w:tcPr>
            <w:tcW w:w="941" w:type="dxa"/>
            <w:tcBorders>
              <w:top w:val="nil"/>
              <w:left w:val="single" w:sz="8" w:space="0" w:color="000000"/>
              <w:bottom w:val="single" w:sz="8" w:space="0" w:color="000000"/>
              <w:right w:val="single" w:sz="8" w:space="0" w:color="000000"/>
            </w:tcBorders>
            <w:shd w:val="clear" w:color="auto" w:fill="auto"/>
            <w:vAlign w:val="bottom"/>
          </w:tcPr>
          <w:p>
            <w:pPr>
              <w:widowControl/>
              <w:rPr>
                <w:kern w:val="0"/>
                <w:sz w:val="16"/>
                <w:szCs w:val="16"/>
              </w:rPr>
            </w:pPr>
            <w:r>
              <w:rPr>
                <w:kern w:val="0"/>
                <w:sz w:val="16"/>
                <w:szCs w:val="16"/>
              </w:rPr>
              <w:t>2210201</w:t>
            </w:r>
          </w:p>
        </w:tc>
        <w:tc>
          <w:tcPr>
            <w:tcW w:w="1909" w:type="dxa"/>
            <w:tcBorders>
              <w:top w:val="nil"/>
              <w:left w:val="nil"/>
              <w:bottom w:val="single" w:sz="8" w:space="0" w:color="000000"/>
              <w:right w:val="nil"/>
            </w:tcBorders>
            <w:shd w:val="clear" w:color="auto" w:fill="auto"/>
            <w:vAlign w:val="bottom"/>
          </w:tcPr>
          <w:p>
            <w:pPr>
              <w:widowControl/>
              <w:rPr>
                <w:rFonts w:ascii="宋体" w:cs="宋体"/>
                <w:kern w:val="0"/>
                <w:sz w:val="16"/>
                <w:szCs w:val="16"/>
              </w:rPr>
            </w:pPr>
            <w:r>
              <w:rPr>
                <w:rFonts w:ascii="宋体" w:cs="宋体" w:hint="eastAsia"/>
                <w:kern w:val="0"/>
                <w:sz w:val="16"/>
                <w:szCs w:val="16"/>
              </w:rPr>
              <w:t>住房公积金</w:t>
            </w:r>
          </w:p>
        </w:tc>
        <w:tc>
          <w:tcPr>
            <w:tcW w:w="1134" w:type="dxa"/>
            <w:tcBorders>
              <w:top w:val="nil"/>
              <w:left w:val="single" w:sz="4" w:space="0" w:color="auto"/>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25.8</w:t>
            </w:r>
          </w:p>
        </w:tc>
        <w:tc>
          <w:tcPr>
            <w:tcW w:w="1276" w:type="dxa"/>
            <w:tcBorders>
              <w:top w:val="nil"/>
              <w:left w:val="nil"/>
              <w:bottom w:val="single" w:sz="4" w:space="0" w:color="auto"/>
              <w:right w:val="single" w:sz="4" w:space="0" w:color="auto"/>
            </w:tcBorders>
            <w:shd w:val="clear" w:color="000000" w:fill="FFFFFF"/>
            <w:vAlign w:val="bottom"/>
          </w:tcPr>
          <w:p>
            <w:pPr>
              <w:widowControl/>
              <w:jc w:val="right"/>
              <w:rPr>
                <w:rFonts w:ascii="宋体" w:cs="宋体"/>
                <w:color w:val="000000"/>
                <w:kern w:val="0"/>
                <w:sz w:val="16"/>
                <w:szCs w:val="16"/>
              </w:rPr>
            </w:pPr>
            <w:r>
              <w:rPr>
                <w:rFonts w:ascii="宋体" w:cs="宋体" w:hint="eastAsia"/>
                <w:color w:val="000000"/>
                <w:kern w:val="0"/>
                <w:sz w:val="16"/>
                <w:szCs w:val="16"/>
              </w:rPr>
              <w:t>25.8</w:t>
            </w:r>
          </w:p>
        </w:tc>
        <w:tc>
          <w:tcPr>
            <w:tcW w:w="992"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22.08</w:t>
            </w:r>
          </w:p>
        </w:tc>
        <w:tc>
          <w:tcPr>
            <w:tcW w:w="1418"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22.08</w:t>
            </w:r>
          </w:p>
        </w:tc>
        <w:tc>
          <w:tcPr>
            <w:tcW w:w="1276" w:type="dxa"/>
            <w:tcBorders>
              <w:top w:val="nil"/>
              <w:left w:val="nil"/>
              <w:bottom w:val="single" w:sz="4" w:space="0" w:color="auto"/>
              <w:right w:val="single" w:sz="4" w:space="0" w:color="auto"/>
            </w:tcBorders>
            <w:shd w:val="clear" w:color="000000" w:fill="FFFFFF"/>
            <w:vAlign w:val="center"/>
          </w:tcPr>
          <w:p>
            <w:pPr>
              <w:widowControl/>
              <w:jc w:val="right"/>
              <w:rPr>
                <w:kern w:val="0"/>
                <w:sz w:val="16"/>
                <w:szCs w:val="16"/>
              </w:rPr>
            </w:pPr>
            <w:r>
              <w:rPr>
                <w:kern w:val="0"/>
                <w:sz w:val="16"/>
                <w:szCs w:val="16"/>
              </w:rPr>
              <w:t>　</w:t>
            </w:r>
          </w:p>
        </w:tc>
        <w:tc>
          <w:tcPr>
            <w:tcW w:w="1417"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20"/>
                <w:szCs w:val="20"/>
              </w:rPr>
            </w:pPr>
            <w:r>
              <w:rPr>
                <w:rFonts w:ascii="宋体" w:cs="宋体" w:hint="eastAsia"/>
                <w:kern w:val="0"/>
                <w:sz w:val="20"/>
                <w:szCs w:val="20"/>
              </w:rPr>
              <w:t>22.08</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 xml:space="preserve">-3.72 </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-16.85%</w:t>
            </w:r>
          </w:p>
        </w:tc>
        <w:tc>
          <w:tcPr>
            <w:tcW w:w="1276" w:type="dxa"/>
            <w:tcBorders>
              <w:top w:val="nil"/>
              <w:left w:val="nil"/>
              <w:bottom w:val="single" w:sz="4" w:space="0" w:color="auto"/>
              <w:right w:val="single" w:sz="4" w:space="0" w:color="auto"/>
            </w:tcBorders>
            <w:shd w:val="clear" w:color="auto" w:fill="auto"/>
            <w:vAlign w:val="center"/>
          </w:tcPr>
          <w:p>
            <w:pPr>
              <w:widowControl/>
              <w:jc w:val="right"/>
              <w:rPr>
                <w:kern w:val="0"/>
                <w:sz w:val="16"/>
                <w:szCs w:val="16"/>
              </w:rPr>
            </w:pPr>
            <w:r>
              <w:rPr>
                <w:kern w:val="0"/>
                <w:sz w:val="16"/>
                <w:szCs w:val="16"/>
              </w:rPr>
              <w:t>-3.72</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-16.85%</w:t>
            </w:r>
          </w:p>
        </w:tc>
      </w:tr>
      <w:tr>
        <w:trPr>
          <w:trHeight w:val="315"/>
        </w:trPr>
        <w:tc>
          <w:tcPr>
            <w:tcW w:w="2850" w:type="dxa"/>
            <w:gridSpan w:val="2"/>
            <w:tcBorders>
              <w:top w:val="single" w:sz="8" w:space="0" w:color="000000"/>
              <w:left w:val="single" w:sz="8" w:space="0" w:color="000000"/>
              <w:bottom w:val="single" w:sz="8" w:space="0" w:color="000000"/>
              <w:right w:val="nil"/>
            </w:tcBorders>
            <w:shd w:val="clear" w:color="auto" w:fill="auto"/>
            <w:vAlign w:val="bottom"/>
          </w:tcPr>
          <w:p>
            <w:pPr>
              <w:widowControl/>
              <w:jc w:val="center"/>
              <w:rPr>
                <w:rFonts w:ascii="宋体" w:cs="宋体"/>
                <w:color w:val="000000"/>
                <w:kern w:val="0"/>
                <w:sz w:val="16"/>
                <w:szCs w:val="16"/>
              </w:rPr>
            </w:pPr>
            <w:r>
              <w:rPr>
                <w:rFonts w:ascii="宋体" w:cs="宋体" w:hint="eastAsia"/>
                <w:color w:val="000000"/>
                <w:kern w:val="0"/>
                <w:sz w:val="16"/>
                <w:szCs w:val="16"/>
              </w:rPr>
              <w:t>合计</w:t>
            </w:r>
          </w:p>
        </w:tc>
        <w:tc>
          <w:tcPr>
            <w:tcW w:w="1134" w:type="dxa"/>
            <w:tcBorders>
              <w:top w:val="nil"/>
              <w:left w:val="single" w:sz="4" w:space="0" w:color="auto"/>
              <w:bottom w:val="single" w:sz="4" w:space="0" w:color="auto"/>
              <w:right w:val="single" w:sz="4" w:space="0" w:color="auto"/>
            </w:tcBorders>
            <w:shd w:val="clear" w:color="000000" w:fill="FFFFFF"/>
            <w:vAlign w:val="center"/>
          </w:tcPr>
          <w:p>
            <w:pPr>
              <w:widowControl/>
              <w:jc w:val="right"/>
              <w:rPr>
                <w:rFonts w:ascii="宋体" w:cs="宋体"/>
                <w:color w:val="000000"/>
                <w:kern w:val="0"/>
                <w:sz w:val="16"/>
                <w:szCs w:val="16"/>
              </w:rPr>
            </w:pPr>
            <w:r>
              <w:rPr>
                <w:rFonts w:ascii="宋体" w:cs="宋体" w:hint="eastAsia"/>
                <w:color w:val="000000"/>
                <w:kern w:val="0"/>
                <w:sz w:val="16"/>
                <w:szCs w:val="16"/>
              </w:rPr>
              <w:t>144.25</w:t>
            </w:r>
          </w:p>
        </w:tc>
        <w:tc>
          <w:tcPr>
            <w:tcW w:w="1276" w:type="dxa"/>
            <w:tcBorders>
              <w:top w:val="nil"/>
              <w:left w:val="nil"/>
              <w:bottom w:val="single" w:sz="4" w:space="0" w:color="auto"/>
              <w:right w:val="single" w:sz="4" w:space="0" w:color="auto"/>
            </w:tcBorders>
            <w:shd w:val="clear" w:color="000000" w:fill="FFFFFF"/>
            <w:vAlign w:val="center"/>
          </w:tcPr>
          <w:p>
            <w:pPr>
              <w:widowControl/>
              <w:jc w:val="right"/>
              <w:rPr>
                <w:rFonts w:ascii="宋体" w:cs="宋体"/>
                <w:color w:val="000000"/>
                <w:kern w:val="0"/>
                <w:sz w:val="16"/>
                <w:szCs w:val="16"/>
              </w:rPr>
            </w:pPr>
            <w:r>
              <w:rPr>
                <w:rFonts w:ascii="宋体" w:cs="宋体" w:hint="eastAsia"/>
                <w:color w:val="000000"/>
                <w:kern w:val="0"/>
                <w:sz w:val="16"/>
                <w:szCs w:val="16"/>
              </w:rPr>
              <w:t>144.25</w:t>
            </w:r>
          </w:p>
        </w:tc>
        <w:tc>
          <w:tcPr>
            <w:tcW w:w="992" w:type="dxa"/>
            <w:tcBorders>
              <w:top w:val="nil"/>
              <w:left w:val="nil"/>
              <w:bottom w:val="single" w:sz="4" w:space="0" w:color="auto"/>
              <w:right w:val="single" w:sz="4" w:space="0" w:color="auto"/>
            </w:tcBorders>
            <w:shd w:val="clear" w:color="000000" w:fill="FFFFFF"/>
            <w:vAlign w:val="center"/>
          </w:tcPr>
          <w:p>
            <w:pPr>
              <w:widowControl/>
              <w:jc w:val="right"/>
              <w:rPr>
                <w:rFonts w:ascii="宋体" w:cs="宋体"/>
                <w:color w:val="000000"/>
                <w:kern w:val="0"/>
                <w:sz w:val="16"/>
                <w:szCs w:val="16"/>
              </w:rPr>
            </w:pPr>
            <w:r>
              <w:rPr>
                <w:rFonts w:ascii="宋体" w:cs="宋体" w:hint="eastAsia"/>
                <w:color w:val="000000"/>
                <w:kern w:val="0"/>
                <w:sz w:val="16"/>
                <w:szCs w:val="16"/>
              </w:rPr>
              <w:t>177.01</w:t>
            </w:r>
          </w:p>
        </w:tc>
        <w:tc>
          <w:tcPr>
            <w:tcW w:w="1418" w:type="dxa"/>
            <w:tcBorders>
              <w:top w:val="nil"/>
              <w:left w:val="nil"/>
              <w:bottom w:val="single" w:sz="4" w:space="0" w:color="auto"/>
              <w:right w:val="single" w:sz="4" w:space="0" w:color="auto"/>
            </w:tcBorders>
            <w:shd w:val="clear" w:color="000000" w:fill="FFFFFF"/>
            <w:vAlign w:val="center"/>
          </w:tcPr>
          <w:p>
            <w:pPr>
              <w:widowControl/>
              <w:jc w:val="right"/>
              <w:rPr>
                <w:rFonts w:ascii="宋体" w:cs="宋体"/>
                <w:color w:val="000000"/>
                <w:kern w:val="0"/>
                <w:sz w:val="16"/>
                <w:szCs w:val="16"/>
              </w:rPr>
            </w:pPr>
            <w:r>
              <w:rPr>
                <w:rFonts w:ascii="宋体" w:cs="宋体" w:hint="eastAsia"/>
                <w:color w:val="000000"/>
                <w:kern w:val="0"/>
                <w:sz w:val="16"/>
                <w:szCs w:val="16"/>
              </w:rPr>
              <w:t>177.01</w:t>
            </w:r>
          </w:p>
        </w:tc>
        <w:tc>
          <w:tcPr>
            <w:tcW w:w="1276" w:type="dxa"/>
            <w:tcBorders>
              <w:top w:val="nil"/>
              <w:left w:val="nil"/>
              <w:bottom w:val="single" w:sz="4" w:space="0" w:color="auto"/>
              <w:right w:val="single" w:sz="4" w:space="0" w:color="auto"/>
            </w:tcBorders>
            <w:shd w:val="clear" w:color="000000" w:fill="FFFFFF"/>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1417" w:type="dxa"/>
            <w:tcBorders>
              <w:top w:val="nil"/>
              <w:left w:val="nil"/>
              <w:bottom w:val="single" w:sz="4" w:space="0" w:color="auto"/>
              <w:right w:val="single" w:sz="4" w:space="0" w:color="auto"/>
            </w:tcBorders>
            <w:shd w:val="clear" w:color="000000" w:fill="FFFFFF"/>
            <w:vAlign w:val="center"/>
          </w:tcPr>
          <w:p>
            <w:pPr>
              <w:widowControl/>
              <w:jc w:val="right"/>
              <w:rPr>
                <w:rFonts w:ascii="宋体" w:cs="宋体"/>
                <w:color w:val="000000"/>
                <w:kern w:val="0"/>
                <w:sz w:val="16"/>
                <w:szCs w:val="16"/>
              </w:rPr>
            </w:pPr>
            <w:r>
              <w:rPr>
                <w:rFonts w:ascii="宋体" w:cs="宋体" w:hint="eastAsia"/>
                <w:color w:val="000000"/>
                <w:kern w:val="0"/>
                <w:sz w:val="16"/>
                <w:szCs w:val="16"/>
              </w:rPr>
              <w:t>177.01</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 xml:space="preserve">32.76 </w:t>
            </w:r>
          </w:p>
        </w:tc>
        <w:tc>
          <w:tcPr>
            <w:tcW w:w="1134"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18.51%</w:t>
            </w:r>
          </w:p>
        </w:tc>
        <w:tc>
          <w:tcPr>
            <w:tcW w:w="1276" w:type="dxa"/>
            <w:tcBorders>
              <w:top w:val="nil"/>
              <w:left w:val="nil"/>
              <w:bottom w:val="single" w:sz="4" w:space="0" w:color="auto"/>
              <w:right w:val="single" w:sz="4" w:space="0" w:color="auto"/>
            </w:tcBorders>
            <w:shd w:val="clear" w:color="auto" w:fill="auto"/>
            <w:vAlign w:val="center"/>
          </w:tcPr>
          <w:p>
            <w:pPr>
              <w:widowControl/>
              <w:jc w:val="right"/>
              <w:rPr>
                <w:color w:val="000000"/>
                <w:kern w:val="0"/>
                <w:sz w:val="16"/>
                <w:szCs w:val="16"/>
              </w:rPr>
            </w:pPr>
            <w:r>
              <w:rPr>
                <w:color w:val="000000"/>
                <w:kern w:val="0"/>
                <w:sz w:val="16"/>
                <w:szCs w:val="16"/>
              </w:rPr>
              <w:t>32.76</w:t>
            </w:r>
          </w:p>
        </w:tc>
        <w:tc>
          <w:tcPr>
            <w:tcW w:w="1134" w:type="dxa"/>
            <w:tcBorders>
              <w:top w:val="nil"/>
              <w:left w:val="nil"/>
              <w:bottom w:val="single" w:sz="4" w:space="0" w:color="auto"/>
              <w:right w:val="single" w:sz="4" w:space="0" w:color="auto"/>
            </w:tcBorders>
            <w:shd w:val="clear" w:color="auto" w:fill="auto"/>
            <w:vAlign w:val="bottom"/>
          </w:tcPr>
          <w:p>
            <w:pPr>
              <w:widowControl/>
              <w:jc w:val="right"/>
              <w:rPr>
                <w:rFonts w:ascii="宋体" w:cs="宋体"/>
                <w:kern w:val="0"/>
                <w:sz w:val="16"/>
                <w:szCs w:val="16"/>
              </w:rPr>
            </w:pPr>
            <w:r>
              <w:rPr>
                <w:rFonts w:ascii="宋体" w:cs="宋体" w:hint="eastAsia"/>
                <w:kern w:val="0"/>
                <w:sz w:val="16"/>
                <w:szCs w:val="16"/>
              </w:rPr>
              <w:t>18.51%</w:t>
            </w:r>
          </w:p>
        </w:tc>
      </w:tr>
    </w:tbl>
    <w:p>
      <w:pPr>
        <w:pStyle w:val="2319"/>
        <w:rPr>
          <w:rFonts w:ascii="Times New Roman" w:eastAsia="宋体" w:hAnsi="Times New Roman"/>
        </w:rPr>
        <w:sectPr>
          <w:pgSz w:w="16840" w:h="11907"/>
          <w:pgMar w:top="737" w:right="879" w:bottom="567" w:left="885" w:header="0" w:footer="0" w:gutter="0"/>
          <w:docGrid w:linePitch="285" w:charSpace="0"/>
        </w:sectPr>
      </w:pPr>
    </w:p>
    <w:p>
      <w:pPr>
        <w:jc w:val="right"/>
        <w:rPr>
          <w:rFonts w:eastAsia="黑体" w:cs="黑体"/>
          <w:snapToGrid w:val="0"/>
          <w:sz w:val="20"/>
          <w:szCs w:val="20"/>
        </w:rPr>
      </w:pPr>
      <w:r>
        <w:rPr>
          <w:rFonts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left"/>
        <w:tblInd w:w="9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16"/>
        <w:gridCol w:w="3310"/>
        <w:gridCol w:w="1843"/>
        <w:gridCol w:w="2410"/>
        <w:gridCol w:w="2409"/>
      </w:tblGrid>
      <w:tr>
        <w:trPr>
          <w:trHeight w:val="375"/>
        </w:trPr>
        <w:tc>
          <w:tcPr>
            <w:tcW w:w="412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部门预算支出经济分类科目</w:t>
            </w:r>
          </w:p>
        </w:tc>
        <w:tc>
          <w:tcPr>
            <w:tcW w:w="6662" w:type="dxa"/>
            <w:gridSpan w:val="3"/>
            <w:tcBorders>
              <w:top w:val="single" w:sz="4" w:space="0" w:color="auto"/>
              <w:left w:val="nil"/>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本年一般公共预算基本支出</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科目代码</w:t>
            </w:r>
          </w:p>
        </w:tc>
        <w:tc>
          <w:tcPr>
            <w:tcW w:w="3310" w:type="dxa"/>
            <w:tcBorders>
              <w:top w:val="nil"/>
              <w:left w:val="nil"/>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科目名称</w:t>
            </w:r>
          </w:p>
        </w:tc>
        <w:tc>
          <w:tcPr>
            <w:tcW w:w="1843" w:type="dxa"/>
            <w:tcBorders>
              <w:top w:val="nil"/>
              <w:left w:val="nil"/>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合计</w:t>
            </w:r>
          </w:p>
        </w:tc>
        <w:tc>
          <w:tcPr>
            <w:tcW w:w="2410" w:type="dxa"/>
            <w:tcBorders>
              <w:top w:val="nil"/>
              <w:left w:val="nil"/>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人员经费</w:t>
            </w:r>
          </w:p>
        </w:tc>
        <w:tc>
          <w:tcPr>
            <w:tcW w:w="2409" w:type="dxa"/>
            <w:tcBorders>
              <w:top w:val="nil"/>
              <w:left w:val="nil"/>
              <w:bottom w:val="single" w:sz="4" w:space="0" w:color="auto"/>
              <w:right w:val="single" w:sz="4" w:space="0" w:color="auto"/>
            </w:tcBorders>
            <w:shd w:val="clear" w:color="000000" w:fill="FFFFFF"/>
            <w:vAlign w:val="center"/>
          </w:tcPr>
          <w:p>
            <w:pPr>
              <w:widowControl/>
              <w:jc w:val="center"/>
              <w:rPr>
                <w:rFonts w:ascii="宋体" w:cs="宋体"/>
                <w:kern w:val="0"/>
                <w:sz w:val="15"/>
                <w:szCs w:val="15"/>
              </w:rPr>
            </w:pPr>
            <w:r>
              <w:rPr>
                <w:rFonts w:ascii="宋体" w:cs="宋体" w:hint="eastAsia"/>
                <w:kern w:val="0"/>
                <w:sz w:val="15"/>
                <w:szCs w:val="15"/>
              </w:rPr>
              <w:t>公用经费</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b/>
                <w:bCs/>
                <w:kern w:val="0"/>
                <w:sz w:val="15"/>
                <w:szCs w:val="15"/>
              </w:rPr>
            </w:pPr>
            <w:r>
              <w:rPr>
                <w:rFonts w:ascii="宋体" w:cs="宋体" w:hint="eastAsia"/>
                <w:b/>
                <w:bCs/>
                <w:kern w:val="0"/>
                <w:sz w:val="15"/>
                <w:szCs w:val="15"/>
              </w:rPr>
              <w:t>301</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b/>
                <w:bCs/>
                <w:kern w:val="0"/>
                <w:sz w:val="15"/>
                <w:szCs w:val="15"/>
              </w:rPr>
            </w:pPr>
            <w:r>
              <w:rPr>
                <w:rFonts w:ascii="宋体" w:cs="宋体" w:hint="eastAsia"/>
                <w:b/>
                <w:bCs/>
                <w:kern w:val="0"/>
                <w:sz w:val="15"/>
                <w:szCs w:val="15"/>
              </w:rPr>
              <w:t>工资福利支出</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b/>
                <w:bCs/>
                <w:kern w:val="0"/>
                <w:sz w:val="15"/>
                <w:szCs w:val="15"/>
              </w:rPr>
            </w:pPr>
            <w:r>
              <w:rPr>
                <w:rFonts w:ascii="宋体" w:cs="宋体" w:hint="eastAsia"/>
                <w:b/>
                <w:bCs/>
                <w:kern w:val="0"/>
                <w:sz w:val="15"/>
                <w:szCs w:val="15"/>
              </w:rPr>
              <w:t>151.01</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b/>
                <w:bCs/>
                <w:kern w:val="0"/>
                <w:sz w:val="15"/>
                <w:szCs w:val="15"/>
              </w:rPr>
            </w:pPr>
            <w:r>
              <w:rPr>
                <w:rFonts w:ascii="宋体" w:cs="宋体" w:hint="eastAsia"/>
                <w:b/>
                <w:bCs/>
                <w:kern w:val="0"/>
                <w:sz w:val="15"/>
                <w:szCs w:val="15"/>
              </w:rPr>
              <w:t>151.01</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b/>
                <w:bCs/>
                <w:kern w:val="0"/>
                <w:sz w:val="15"/>
                <w:szCs w:val="15"/>
              </w:rPr>
            </w:pPr>
            <w:r>
              <w:rPr>
                <w:rFonts w:ascii="宋体" w:cs="宋体" w:hint="eastAsia"/>
                <w:b/>
                <w:bCs/>
                <w:kern w:val="0"/>
                <w:sz w:val="15"/>
                <w:szCs w:val="15"/>
              </w:rPr>
              <w:t>　</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30101</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基本工资</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52.00</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52.00</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30108</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机关事业单位基本养老保险缴费</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50.96</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50.96</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30109</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职业年金缴费</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25.97</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25.97</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30113</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住房公积金</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22.08</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22.08</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b/>
                <w:bCs/>
                <w:kern w:val="0"/>
                <w:sz w:val="15"/>
                <w:szCs w:val="15"/>
              </w:rPr>
            </w:pPr>
            <w:r>
              <w:rPr>
                <w:rFonts w:ascii="宋体" w:cs="宋体" w:hint="eastAsia"/>
                <w:b/>
                <w:bCs/>
                <w:kern w:val="0"/>
                <w:sz w:val="15"/>
                <w:szCs w:val="15"/>
              </w:rPr>
              <w:t>302</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b/>
                <w:bCs/>
                <w:kern w:val="0"/>
                <w:sz w:val="15"/>
                <w:szCs w:val="15"/>
              </w:rPr>
            </w:pPr>
            <w:r>
              <w:rPr>
                <w:rFonts w:ascii="宋体" w:cs="宋体" w:hint="eastAsia"/>
                <w:b/>
                <w:bCs/>
                <w:kern w:val="0"/>
                <w:sz w:val="15"/>
                <w:szCs w:val="15"/>
              </w:rPr>
              <w:t>商品和服务支出</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b/>
                <w:bCs/>
                <w:kern w:val="0"/>
                <w:sz w:val="15"/>
                <w:szCs w:val="15"/>
              </w:rPr>
            </w:pPr>
            <w:r>
              <w:rPr>
                <w:rFonts w:ascii="宋体" w:cs="宋体" w:hint="eastAsia"/>
                <w:b/>
                <w:bCs/>
                <w:kern w:val="0"/>
                <w:sz w:val="15"/>
                <w:szCs w:val="15"/>
              </w:rPr>
              <w:t>22.00</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b/>
                <w:bCs/>
                <w:kern w:val="0"/>
                <w:sz w:val="15"/>
                <w:szCs w:val="15"/>
              </w:rPr>
            </w:pPr>
            <w:r>
              <w:rPr>
                <w:rFonts w:ascii="宋体" w:cs="宋体" w:hint="eastAsia"/>
                <w:b/>
                <w:bCs/>
                <w:kern w:val="0"/>
                <w:sz w:val="15"/>
                <w:szCs w:val="15"/>
              </w:rPr>
              <w:t>　</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b/>
                <w:bCs/>
                <w:kern w:val="0"/>
                <w:sz w:val="15"/>
                <w:szCs w:val="15"/>
              </w:rPr>
            </w:pPr>
            <w:r>
              <w:rPr>
                <w:rFonts w:ascii="宋体" w:cs="宋体" w:hint="eastAsia"/>
                <w:b/>
                <w:bCs/>
                <w:kern w:val="0"/>
                <w:sz w:val="15"/>
                <w:szCs w:val="15"/>
              </w:rPr>
              <w:t>22.00</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30201</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办公费</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3.00</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3.00</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30211</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差旅费</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1.00</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1.00</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30213</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维修（护）费</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6.00</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6.00</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30228</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工会经费</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3.60</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3.60</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30239</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其他交通费用</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5.60</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5.60</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30299</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其他商品和服务支出</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2.80</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2.80</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b/>
                <w:bCs/>
                <w:kern w:val="0"/>
                <w:sz w:val="15"/>
                <w:szCs w:val="15"/>
              </w:rPr>
            </w:pPr>
            <w:r>
              <w:rPr>
                <w:rFonts w:ascii="宋体" w:cs="宋体" w:hint="eastAsia"/>
                <w:b/>
                <w:bCs/>
                <w:kern w:val="0"/>
                <w:sz w:val="15"/>
                <w:szCs w:val="15"/>
              </w:rPr>
              <w:t>310</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b/>
                <w:bCs/>
                <w:kern w:val="0"/>
                <w:sz w:val="15"/>
                <w:szCs w:val="15"/>
              </w:rPr>
            </w:pPr>
            <w:r>
              <w:rPr>
                <w:rFonts w:ascii="宋体" w:cs="宋体" w:hint="eastAsia"/>
                <w:b/>
                <w:bCs/>
                <w:kern w:val="0"/>
                <w:sz w:val="15"/>
                <w:szCs w:val="15"/>
              </w:rPr>
              <w:t>资本性支出</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b/>
                <w:bCs/>
                <w:kern w:val="0"/>
                <w:sz w:val="15"/>
                <w:szCs w:val="15"/>
              </w:rPr>
            </w:pPr>
            <w:r>
              <w:rPr>
                <w:rFonts w:ascii="宋体" w:cs="宋体" w:hint="eastAsia"/>
                <w:b/>
                <w:bCs/>
                <w:kern w:val="0"/>
                <w:sz w:val="15"/>
                <w:szCs w:val="15"/>
              </w:rPr>
              <w:t>4.00</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b/>
                <w:bCs/>
                <w:kern w:val="0"/>
                <w:sz w:val="15"/>
                <w:szCs w:val="15"/>
              </w:rPr>
            </w:pPr>
            <w:r>
              <w:rPr>
                <w:rFonts w:ascii="宋体" w:cs="宋体" w:hint="eastAsia"/>
                <w:b/>
                <w:bCs/>
                <w:kern w:val="0"/>
                <w:sz w:val="15"/>
                <w:szCs w:val="15"/>
              </w:rPr>
              <w:t>　</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b/>
                <w:bCs/>
                <w:kern w:val="0"/>
                <w:sz w:val="15"/>
                <w:szCs w:val="15"/>
              </w:rPr>
            </w:pPr>
            <w:r>
              <w:rPr>
                <w:rFonts w:ascii="宋体" w:cs="宋体" w:hint="eastAsia"/>
                <w:b/>
                <w:bCs/>
                <w:kern w:val="0"/>
                <w:sz w:val="15"/>
                <w:szCs w:val="15"/>
              </w:rPr>
              <w:t>4.00</w:t>
            </w:r>
          </w:p>
        </w:tc>
      </w:tr>
      <w:tr>
        <w:trPr>
          <w:trHeight w:val="375"/>
        </w:trPr>
        <w:tc>
          <w:tcPr>
            <w:tcBorders>
              <w:top w:val="nil"/>
              <w:left w:val="single" w:sz="4" w:space="0" w:color="auto"/>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31002</w:t>
            </w:r>
          </w:p>
        </w:tc>
        <w:tc>
          <w:tcPr>
            <w:tcW w:w="3310" w:type="dxa"/>
            <w:tcBorders>
              <w:top w:val="nil"/>
              <w:left w:val="nil"/>
              <w:bottom w:val="single" w:sz="4" w:space="0" w:color="auto"/>
              <w:right w:val="single" w:sz="4" w:space="0" w:color="auto"/>
            </w:tcBorders>
            <w:shd w:val="clear" w:color="000000" w:fill="FFFFFF"/>
            <w:vAlign w:val="center"/>
          </w:tcPr>
          <w:p>
            <w:pPr>
              <w:widowControl/>
              <w:jc w:val="left"/>
              <w:rPr>
                <w:rFonts w:ascii="宋体" w:cs="宋体"/>
                <w:kern w:val="0"/>
                <w:sz w:val="15"/>
                <w:szCs w:val="15"/>
              </w:rPr>
            </w:pPr>
            <w:r>
              <w:rPr>
                <w:rFonts w:ascii="宋体" w:cs="宋体" w:hint="eastAsia"/>
                <w:kern w:val="0"/>
                <w:sz w:val="15"/>
                <w:szCs w:val="15"/>
              </w:rPr>
              <w:t>办公设备购置</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4.00</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　</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kern w:val="0"/>
                <w:sz w:val="15"/>
                <w:szCs w:val="15"/>
              </w:rPr>
            </w:pPr>
            <w:r>
              <w:rPr>
                <w:rFonts w:ascii="宋体" w:cs="宋体" w:hint="eastAsia"/>
                <w:kern w:val="0"/>
                <w:sz w:val="15"/>
                <w:szCs w:val="15"/>
              </w:rPr>
              <w:t>4.00</w:t>
            </w:r>
          </w:p>
        </w:tc>
      </w:tr>
      <w:tr>
        <w:trPr>
          <w:trHeight w:val="375"/>
        </w:trPr>
        <w:tc>
          <w:tcPr>
            <w:tcBorders>
              <w:top w:val="nil"/>
              <w:left w:val="single" w:sz="4" w:space="0" w:color="auto"/>
              <w:bottom w:val="single" w:sz="4" w:space="0" w:color="auto"/>
              <w:right w:val="single" w:sz="4" w:space="0" w:color="auto"/>
            </w:tcBorders>
            <w:shd w:val="clear" w:color="000000" w:fill="FFFFFF"/>
            <w:noWrap/>
            <w:vAlign w:val="center"/>
          </w:tcPr>
          <w:p>
            <w:pPr>
              <w:widowControl/>
              <w:jc w:val="left"/>
              <w:rPr>
                <w:rFonts w:ascii="宋体" w:cs="宋体"/>
                <w:kern w:val="0"/>
                <w:sz w:val="20"/>
                <w:szCs w:val="20"/>
              </w:rPr>
            </w:pPr>
            <w:r>
              <w:rPr>
                <w:rFonts w:ascii="宋体" w:cs="宋体" w:hint="eastAsia"/>
                <w:kern w:val="0"/>
                <w:sz w:val="20"/>
                <w:szCs w:val="20"/>
              </w:rPr>
              <w:t>　</w:t>
            </w:r>
          </w:p>
        </w:tc>
        <w:tc>
          <w:tcPr>
            <w:tcW w:w="3310" w:type="dxa"/>
            <w:tcBorders>
              <w:top w:val="nil"/>
              <w:left w:val="nil"/>
              <w:bottom w:val="single" w:sz="4" w:space="0" w:color="auto"/>
              <w:right w:val="single" w:sz="4" w:space="0" w:color="auto"/>
            </w:tcBorders>
            <w:shd w:val="clear" w:color="000000" w:fill="FFFFFF"/>
            <w:noWrap/>
            <w:vAlign w:val="center"/>
          </w:tcPr>
          <w:p>
            <w:pPr>
              <w:widowControl/>
              <w:jc w:val="center"/>
              <w:rPr>
                <w:rFonts w:ascii="宋体" w:cs="宋体"/>
                <w:b/>
                <w:bCs/>
                <w:kern w:val="0"/>
                <w:sz w:val="15"/>
                <w:szCs w:val="15"/>
              </w:rPr>
            </w:pPr>
            <w:r>
              <w:rPr>
                <w:rFonts w:ascii="宋体" w:cs="宋体" w:hint="eastAsia"/>
                <w:b/>
                <w:bCs/>
                <w:kern w:val="0"/>
                <w:sz w:val="15"/>
                <w:szCs w:val="15"/>
              </w:rPr>
              <w:t>合        计</w:t>
            </w:r>
          </w:p>
        </w:tc>
        <w:tc>
          <w:tcPr>
            <w:tcW w:w="1843"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b/>
                <w:bCs/>
                <w:kern w:val="0"/>
                <w:sz w:val="15"/>
                <w:szCs w:val="15"/>
              </w:rPr>
            </w:pPr>
            <w:r>
              <w:rPr>
                <w:rFonts w:ascii="宋体" w:cs="宋体" w:hint="eastAsia"/>
                <w:b/>
                <w:bCs/>
                <w:kern w:val="0"/>
                <w:sz w:val="15"/>
                <w:szCs w:val="15"/>
              </w:rPr>
              <w:t>177.01</w:t>
            </w:r>
          </w:p>
        </w:tc>
        <w:tc>
          <w:tcPr>
            <w:tcW w:w="2410"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b/>
                <w:bCs/>
                <w:kern w:val="0"/>
                <w:sz w:val="15"/>
                <w:szCs w:val="15"/>
              </w:rPr>
            </w:pPr>
            <w:r>
              <w:rPr>
                <w:rFonts w:ascii="宋体" w:cs="宋体" w:hint="eastAsia"/>
                <w:b/>
                <w:bCs/>
                <w:kern w:val="0"/>
                <w:sz w:val="15"/>
                <w:szCs w:val="15"/>
              </w:rPr>
              <w:t>151.01</w:t>
            </w:r>
          </w:p>
        </w:tc>
        <w:tc>
          <w:tcPr>
            <w:tcW w:w="2409" w:type="dxa"/>
            <w:tcBorders>
              <w:top w:val="nil"/>
              <w:left w:val="nil"/>
              <w:bottom w:val="single" w:sz="4" w:space="0" w:color="auto"/>
              <w:right w:val="single" w:sz="4" w:space="0" w:color="auto"/>
            </w:tcBorders>
            <w:shd w:val="clear" w:color="000000" w:fill="FFFFFF"/>
            <w:noWrap/>
            <w:vAlign w:val="center"/>
          </w:tcPr>
          <w:p>
            <w:pPr>
              <w:widowControl/>
              <w:jc w:val="right"/>
              <w:rPr>
                <w:rFonts w:ascii="宋体" w:cs="宋体"/>
                <w:b/>
                <w:bCs/>
                <w:kern w:val="0"/>
                <w:sz w:val="15"/>
                <w:szCs w:val="15"/>
              </w:rPr>
            </w:pPr>
            <w:r>
              <w:rPr>
                <w:rFonts w:ascii="宋体" w:cs="宋体" w:hint="eastAsia"/>
                <w:b/>
                <w:bCs/>
                <w:kern w:val="0"/>
                <w:sz w:val="15"/>
                <w:szCs w:val="15"/>
              </w:rPr>
              <w:t>26.00</w:t>
            </w:r>
          </w:p>
        </w:tc>
      </w:tr>
    </w:tbl>
    <w:p>
      <w:pPr>
        <w:pStyle w:val="2325"/>
        <w:rPr>
          <w:rFonts w:ascii="Times New Roman" w:eastAsia="宋体" w:hAnsi="Times New Roman"/>
        </w:rPr>
      </w:pPr>
    </w:p>
    <w:p>
      <w:pPr>
        <w:pStyle w:val="2325"/>
        <w:rPr>
          <w:rFonts w:ascii="Times New Roman" w:eastAsia="宋体" w:hAnsi="Times New Roman"/>
        </w:rPr>
        <w:sectPr>
          <w:pgSz w:w="11907" w:h="16841"/>
          <w:pgMar w:top="1427" w:right="638" w:bottom="0" w:left="451" w:header="0" w:footer="0" w:gutter="0"/>
          <w:docGrid w:linePitch="285" w:charSpace="0"/>
        </w:sectPr>
      </w:pPr>
    </w:p>
    <w:p>
      <w:pPr>
        <w:pStyle w:val="2325"/>
        <w:spacing w:line="89" w:lineRule="auto"/>
        <w:rPr>
          <w:rFonts w:ascii="Times New Roman" w:eastAsia="宋体" w:hAnsi="Times New Roman"/>
          <w:sz w:val="2"/>
        </w:rPr>
      </w:pPr>
    </w:p>
    <w:p>
      <w:pPr>
        <w:ind w:right="100"/>
        <w:jc w:val="right"/>
        <w:rPr>
          <w:rFonts w:eastAsia="黑体" w:cs="黑体"/>
          <w:snapToGrid w:val="0"/>
          <w:sz w:val="20"/>
          <w:szCs w:val="20"/>
        </w:rPr>
      </w:pPr>
      <w:r>
        <w:rPr>
          <w:rFonts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w:t>
            </w:r>
            <w:r>
              <w:rPr>
                <w:rFonts w:ascii="Times New Roman" w:eastAsia="宋体" w:cs="Times New Roman" w:hAnsi="Times New Roman" w:hint="eastAsia"/>
                <w:spacing w:val="-2"/>
                <w:sz w:val="24"/>
                <w:szCs w:val="24"/>
              </w:rPr>
              <w:t>6</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35"/>
        </w:trPr>
        <w:tc>
          <w:tcPr>
            <w:tcW w:w="5253" w:type="dxa"/>
            <w:gridSpan w:val="2"/>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bl>
    <w:p>
      <w:pPr>
        <w:pStyle w:val="2333"/>
        <w:spacing w:before="94" w:line="180" w:lineRule="auto"/>
        <w:ind w:firstLine="134"/>
        <w:jc w:val="both"/>
        <w:rPr>
          <w:rFonts w:ascii="Times New Roman" w:eastAsia="方正仿宋_GBK" w:cs="方正仿宋_GBK" w:hAnsi="Times New Roman"/>
          <w:spacing w:val="-1"/>
          <w:sz w:val="24"/>
          <w:szCs w:val="24"/>
        </w:rPr>
      </w:pPr>
    </w:p>
    <w:p>
      <w:pPr>
        <w:pStyle w:val="2333"/>
        <w:spacing w:before="94" w:line="180" w:lineRule="auto"/>
        <w:ind w:firstLine="134"/>
        <w:jc w:val="both"/>
        <w:rPr>
          <w:rFonts w:ascii="Times New Roman" w:eastAsia="方正仿宋_GBK" w:cs="方正仿宋_GBK" w:hAnsi="Times New Roman"/>
          <w:sz w:val="24"/>
          <w:szCs w:val="24"/>
        </w:rPr>
      </w:pPr>
      <w:r>
        <w:rPr>
          <w:rFonts w:ascii="Times New Roman" w:eastAsia="方正仿宋_GBK" w:cs="方正仿宋_GBK" w:hAnsi="Times New Roman" w:hint="eastAsia"/>
          <w:spacing w:val="-1"/>
          <w:sz w:val="24"/>
          <w:szCs w:val="24"/>
        </w:rPr>
        <w:t>注：中山海关后勤管理中心2026年无政府性基金本年预算拨款收入，也无使用政府性基金安排的支出，故本表无数据。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eastAsia="黑体" w:cs="黑体" w:hint="eastAsia"/>
          <w:snapToGrid w:val="0"/>
          <w:sz w:val="20"/>
          <w:szCs w:val="20"/>
        </w:rPr>
        <w:t>部门公开表 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w:t>
            </w:r>
            <w:r>
              <w:rPr>
                <w:rFonts w:ascii="Times New Roman" w:eastAsia="宋体" w:cs="Times New Roman" w:hAnsi="Times New Roman" w:hint="eastAsia"/>
                <w:spacing w:val="-2"/>
                <w:sz w:val="24"/>
                <w:szCs w:val="24"/>
              </w:rPr>
              <w:t>6</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35"/>
        </w:trPr>
        <w:tc>
          <w:tcPr>
            <w:tcW w:w="5253" w:type="dxa"/>
            <w:gridSpan w:val="2"/>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Times New Roman" w:eastAsia="方正仿宋_GBK" w:cs="方正仿宋_GBK" w:hAnsi="Times New Roman"/>
          <w:spacing w:val="-6"/>
          <w:sz w:val="24"/>
          <w:szCs w:val="24"/>
        </w:rPr>
      </w:pPr>
      <w:r>
        <w:rPr>
          <w:rFonts w:ascii="Times New Roman" w:eastAsia="方正仿宋_GBK" w:cs="方正仿宋_GBK" w:hAnsi="Times New Roman" w:hint="eastAsia"/>
          <w:spacing w:val="-6"/>
          <w:sz w:val="24"/>
          <w:szCs w:val="24"/>
        </w:rPr>
        <w:t>注：中山海关后勤管理中心</w:t>
      </w:r>
      <w:r>
        <w:rPr>
          <w:rFonts w:ascii="Times New Roman" w:eastAsia="方正仿宋_GBK" w:cs="方正仿宋_GBK" w:hAnsi="Times New Roman" w:hint="eastAsia"/>
          <w:spacing w:val="-1"/>
          <w:sz w:val="24"/>
          <w:szCs w:val="24"/>
        </w:rPr>
        <w:t>2026年</w:t>
      </w:r>
      <w:r>
        <w:rPr>
          <w:rFonts w:ascii="Times New Roman" w:eastAsia="方正仿宋_GBK" w:cs="方正仿宋_GBK" w:hAnsi="Times New Roman" w:hint="eastAsia"/>
          <w:spacing w:val="-6"/>
          <w:sz w:val="24"/>
          <w:szCs w:val="24"/>
        </w:rPr>
        <w:t>无国有资本经营预算收入，也无使用国有资本经营预算安排的支出，故本表无数据。</w:t>
      </w:r>
    </w:p>
    <w:p>
      <w:pPr>
        <w:jc w:val="right"/>
        <w:rPr>
          <w:rFonts w:eastAsia="黑体" w:cs="黑体"/>
          <w:sz w:val="20"/>
          <w:szCs w:val="20"/>
        </w:rPr>
      </w:pPr>
      <w:r>
        <w:rPr>
          <w:rFonts w:eastAsia="方正仿宋_GBK" w:cs="方正仿宋_GBK" w:hint="eastAsia"/>
          <w:spacing w:val="-6"/>
          <w:sz w:val="24"/>
        </w:rPr>
        <w:br w:type="page"/>
      </w:r>
      <w:r>
        <w:rPr>
          <w:rFonts w:eastAsia="黑体" w:cs="黑体" w:hint="eastAsia"/>
          <w:snapToGrid w:val="0"/>
          <w:sz w:val="20"/>
          <w:szCs w:val="20"/>
        </w:rPr>
        <w:t>部门公开表 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before="65" w:line="180" w:lineRule="auto"/>
        <w:ind w:firstLineChars="7500" w:firstLine="14550"/>
        <w:jc w:val="both"/>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5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329"/>
        <w:gridCol w:w="1822"/>
        <w:gridCol w:w="2100"/>
        <w:gridCol w:w="2727"/>
        <w:gridCol w:w="4190"/>
      </w:tblGrid>
      <w:tr>
        <w:trPr>
          <w:trHeight w:val="671"/>
        </w:trPr>
        <w:tc>
          <w:tcPr>
            <w:tcW w:w="15344" w:type="dxa"/>
            <w:gridSpan w:val="6"/>
            <w:vAlign w:val="center"/>
          </w:tcPr>
          <w:p>
            <w:pPr>
              <w:pStyle w:val="2326"/>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w:t>
            </w:r>
            <w:r>
              <w:rPr>
                <w:rFonts w:ascii="Times New Roman" w:eastAsia="宋体" w:cs="Times New Roman" w:hAnsi="Times New Roman" w:hint="eastAsia"/>
                <w:spacing w:val="-2"/>
                <w:sz w:val="22"/>
                <w:szCs w:val="22"/>
              </w:rPr>
              <w:t>6</w:t>
            </w:r>
            <w:r>
              <w:rPr>
                <w:rFonts w:ascii="Times New Roman" w:eastAsia="宋体" w:cs="Times New Roman" w:hAnsi="Times New Roman"/>
                <w:spacing w:val="-2"/>
                <w:sz w:val="22"/>
                <w:szCs w:val="22"/>
              </w:rPr>
              <w:t>年预算数</w:t>
            </w:r>
          </w:p>
        </w:tc>
      </w:tr>
      <w:tr>
        <w:trPr>
          <w:trHeight w:val="872"/>
        </w:trPr>
        <w:tc>
          <w:tcPr>
            <w:tcW w:w="2176"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合计</w:t>
            </w:r>
          </w:p>
        </w:tc>
        <w:tc>
          <w:tcPr>
            <w:tcW w:w="2329" w:type="dxa"/>
            <w:vMerge w:val="restart"/>
            <w:tcBorders>
              <w:bottom w:val="nil"/>
            </w:tcBorders>
            <w:vAlign w:val="center"/>
          </w:tcPr>
          <w:p>
            <w:pPr>
              <w:pStyle w:val="2326"/>
              <w:spacing w:line="439" w:lineRule="auto"/>
              <w:jc w:val="center"/>
              <w:rPr>
                <w:rFonts w:ascii="Times New Roman" w:eastAsia="宋体" w:cs="Times New Roman" w:hAnsi="Times New Roman"/>
                <w:sz w:val="22"/>
                <w:szCs w:val="22"/>
              </w:rPr>
            </w:pPr>
          </w:p>
          <w:p>
            <w:pPr>
              <w:pStyle w:val="2326"/>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spacing w:val="2"/>
                <w:sz w:val="22"/>
                <w:szCs w:val="22"/>
              </w:rPr>
              <w:t>（境）费</w:t>
            </w:r>
          </w:p>
        </w:tc>
        <w:tc>
          <w:tcPr>
            <w:tcW w:w="6649" w:type="dxa"/>
            <w:gridSpan w:val="3"/>
            <w:vAlign w:val="center"/>
          </w:tcPr>
          <w:p>
            <w:pPr>
              <w:pStyle w:val="2326"/>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sz w:val="22"/>
                <w:szCs w:val="22"/>
              </w:rPr>
              <w:t>公务用车购置及运行费</w:t>
            </w:r>
          </w:p>
        </w:tc>
        <w:tc>
          <w:tcPr>
            <w:tcW w:w="4190"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sz w:val="22"/>
                <w:szCs w:val="22"/>
              </w:rPr>
              <w:t>公务接待费</w:t>
            </w:r>
          </w:p>
        </w:tc>
      </w:tr>
      <w:tr>
        <w:trPr>
          <w:trHeight w:val="737"/>
        </w:trPr>
        <w:tc>
          <w:tcPr>
            <w:tcW w:w="2176" w:type="dxa"/>
            <w:vMerge/>
            <w:tcBorders>
              <w:top w:val="nil"/>
            </w:tcBorders>
            <w:vAlign w:val="center"/>
          </w:tcPr>
          <w:p/>
        </w:tc>
        <w:tc>
          <w:tcPr>
            <w:tcW w:w="2329" w:type="dxa"/>
            <w:vMerge/>
            <w:tcBorders>
              <w:top w:val="nil"/>
            </w:tcBorders>
            <w:vAlign w:val="center"/>
          </w:tcPr>
          <w:p/>
        </w:tc>
        <w:tc>
          <w:tcPr>
            <w:tcW w:w="1822" w:type="dxa"/>
            <w:vAlign w:val="center"/>
          </w:tcPr>
          <w:p>
            <w:pPr>
              <w:pStyle w:val="2326"/>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小计</w:t>
            </w:r>
          </w:p>
        </w:tc>
        <w:tc>
          <w:tcPr>
            <w:tcW w:w="2100" w:type="dxa"/>
            <w:vAlign w:val="center"/>
          </w:tcPr>
          <w:p>
            <w:pPr>
              <w:pStyle w:val="2326"/>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公务用车购置费</w:t>
            </w:r>
          </w:p>
        </w:tc>
        <w:tc>
          <w:tcPr>
            <w:tcW w:w="2727" w:type="dxa"/>
            <w:vAlign w:val="center"/>
          </w:tcPr>
          <w:p>
            <w:pPr>
              <w:pStyle w:val="2326"/>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w:t>
            </w:r>
            <w:r>
              <w:rPr>
                <w:rFonts w:ascii="Times New Roman" w:eastAsia="宋体" w:cs="Times New Roman" w:hAnsi="Times New Roman"/>
                <w:spacing w:val="-2"/>
                <w:sz w:val="22"/>
                <w:szCs w:val="22"/>
              </w:rPr>
              <w:t>运行费</w:t>
            </w:r>
          </w:p>
        </w:tc>
        <w:tc>
          <w:tcPr>
            <w:tcW w:w="4190" w:type="dxa"/>
            <w:vMerge/>
            <w:tcBorders>
              <w:top w:val="nil"/>
            </w:tcBorders>
            <w:vAlign w:val="center"/>
          </w:tcPr>
          <w:p/>
        </w:tc>
      </w:tr>
      <w:tr>
        <w:trPr>
          <w:trHeight w:val="1345"/>
        </w:trPr>
        <w:tc>
          <w:tcPr>
            <w:tcW w:w="2176" w:type="dxa"/>
            <w:vAlign w:val="center"/>
          </w:tcPr>
          <w:p>
            <w:pPr>
              <w:widowControl/>
              <w:jc w:val="right"/>
              <w:textAlignment w:val="center"/>
              <w:rPr>
                <w:sz w:val="22"/>
                <w:szCs w:val="22"/>
              </w:rPr>
            </w:pPr>
          </w:p>
        </w:tc>
        <w:tc>
          <w:tcPr>
            <w:tcW w:w="2329" w:type="dxa"/>
            <w:vAlign w:val="center"/>
          </w:tcPr>
          <w:p>
            <w:pPr>
              <w:widowControl/>
              <w:jc w:val="right"/>
              <w:textAlignment w:val="center"/>
              <w:rPr>
                <w:sz w:val="22"/>
                <w:szCs w:val="22"/>
              </w:rPr>
            </w:pPr>
          </w:p>
        </w:tc>
        <w:tc>
          <w:tcPr>
            <w:tcW w:w="1822" w:type="dxa"/>
            <w:vAlign w:val="center"/>
          </w:tcPr>
          <w:p>
            <w:pPr>
              <w:widowControl/>
              <w:jc w:val="right"/>
              <w:textAlignment w:val="center"/>
              <w:rPr>
                <w:sz w:val="22"/>
                <w:szCs w:val="22"/>
              </w:rPr>
            </w:pPr>
          </w:p>
        </w:tc>
        <w:tc>
          <w:tcPr>
            <w:tcW w:w="2100" w:type="dxa"/>
            <w:vAlign w:val="center"/>
          </w:tcPr>
          <w:p>
            <w:pPr>
              <w:widowControl/>
              <w:jc w:val="right"/>
              <w:textAlignment w:val="center"/>
              <w:rPr>
                <w:sz w:val="22"/>
                <w:szCs w:val="22"/>
              </w:rPr>
            </w:pPr>
          </w:p>
        </w:tc>
        <w:tc>
          <w:tcPr>
            <w:tcW w:w="2727" w:type="dxa"/>
            <w:vAlign w:val="center"/>
          </w:tcPr>
          <w:p>
            <w:pPr>
              <w:widowControl/>
              <w:jc w:val="right"/>
              <w:textAlignment w:val="center"/>
              <w:rPr>
                <w:sz w:val="22"/>
                <w:szCs w:val="22"/>
              </w:rPr>
            </w:pPr>
          </w:p>
        </w:tc>
        <w:tc>
          <w:tcPr>
            <w:tcW w:w="4190" w:type="dxa"/>
            <w:vAlign w:val="center"/>
          </w:tcPr>
          <w:p>
            <w:pPr>
              <w:widowControl/>
              <w:jc w:val="right"/>
              <w:textAlignment w:val="center"/>
              <w:rPr>
                <w:sz w:val="22"/>
                <w:szCs w:val="22"/>
              </w:rPr>
            </w:pPr>
          </w:p>
        </w:tc>
      </w:tr>
    </w:tbl>
    <w:p>
      <w:pPr>
        <w:pStyle w:val="2334"/>
        <w:spacing w:before="94" w:line="180" w:lineRule="auto"/>
        <w:ind w:firstLineChars="663" w:firstLine="1591"/>
        <w:rPr>
          <w:rFonts w:ascii="Times New Roman" w:eastAsia="方正仿宋_GBK" w:cs="方正仿宋_GBK" w:hAnsi="Times New Roman"/>
          <w:sz w:val="24"/>
          <w:szCs w:val="24"/>
        </w:rPr>
        <w:sectPr>
          <w:pgSz w:w="16841" w:h="11907" w:orient="landscape"/>
          <w:pgMar w:top="1431" w:right="638" w:bottom="0" w:left="451" w:header="0" w:footer="0" w:gutter="0"/>
          <w:docGrid w:linePitch="285" w:charSpace="0"/>
        </w:sectPr>
      </w:pPr>
    </w:p>
    <w:p>
      <w:pPr>
        <w:pStyle w:val="2325"/>
        <w:rPr>
          <w:rFonts w:ascii="Times New Roman" w:eastAsia="宋体" w:hAnsi="Times New Roman"/>
        </w:rPr>
      </w:pPr>
      <w:r>
        <w:rPr>
          <w:rFonts w:ascii="Times New Roman" w:eastAsia="宋体" w:hAnsi="Times New Roman" w:hint="eastAsia"/>
        </w:rPr>
        <w:t>　　　　　　　</w:t>
      </w:r>
    </w:p>
    <w:p>
      <w:pPr>
        <w:pStyle w:val="2325"/>
        <w:ind w:firstLineChars="500" w:firstLine="1140"/>
        <w:rPr>
          <w:rFonts w:ascii="Times New Roman" w:eastAsia="宋体" w:hAnsi="Times New Roman"/>
        </w:rPr>
        <w:sectPr>
          <w:footerReference w:type="default" r:id="rId7"/>
          <w:type w:val="continuous"/>
          <w:pgSz w:w="16841" w:h="11907" w:orient="landscape"/>
          <w:pgMar w:top="1431" w:right="638" w:bottom="0" w:left="451" w:header="0" w:footer="0" w:gutter="0"/>
          <w:docGrid w:linePitch="285" w:charSpace="0"/>
        </w:sectPr>
      </w:pPr>
      <w:r>
        <w:rPr>
          <w:rFonts w:ascii="Times New Roman" w:eastAsia="方正仿宋_GBK" w:cs="方正仿宋_GBK" w:hAnsi="Times New Roman" w:hint="eastAsia"/>
          <w:spacing w:val="-6"/>
          <w:sz w:val="24"/>
          <w:szCs w:val="24"/>
        </w:rPr>
        <w:t>注：中山海关后勤管理中心</w:t>
      </w:r>
      <w:r>
        <w:rPr>
          <w:rFonts w:ascii="Times New Roman" w:eastAsia="方正仿宋_GBK" w:cs="方正仿宋_GBK" w:hAnsi="Times New Roman" w:hint="eastAsia"/>
          <w:spacing w:val="-1"/>
          <w:sz w:val="24"/>
          <w:szCs w:val="24"/>
        </w:rPr>
        <w:t>2026年</w:t>
      </w:r>
      <w:r>
        <w:rPr>
          <w:rFonts w:ascii="Times New Roman" w:eastAsia="方正仿宋_GBK" w:cs="方正仿宋_GBK" w:hAnsi="Times New Roman" w:hint="eastAsia"/>
          <w:spacing w:val="-6"/>
          <w:sz w:val="24"/>
          <w:szCs w:val="24"/>
        </w:rPr>
        <w:t>无“三公”经费预算财政拨款收入，也无</w:t>
      </w:r>
      <w:r>
        <w:rPr>
          <w:rFonts w:ascii="Times New Roman" w:eastAsia="方正仿宋_GBK" w:cs="方正仿宋_GBK" w:hAnsi="Times New Roman"/>
          <w:spacing w:val="-6"/>
          <w:sz w:val="24"/>
          <w:szCs w:val="24"/>
        </w:rPr>
        <w:t>使用</w:t>
      </w:r>
      <w:r>
        <w:rPr>
          <w:rFonts w:ascii="Times New Roman" w:eastAsia="方正仿宋_GBK" w:cs="方正仿宋_GBK" w:hAnsi="Times New Roman" w:hint="eastAsia"/>
          <w:spacing w:val="-6"/>
          <w:sz w:val="24"/>
          <w:szCs w:val="24"/>
        </w:rPr>
        <w:t>财政拨款预算安排的支出，故本表无数据。</w:t>
      </w: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0"/>
          <w:szCs w:val="80"/>
        </w:rPr>
      </w:pPr>
      <w:r>
        <w:rPr>
          <w:b/>
          <w:sz w:val="80"/>
          <w:szCs w:val="80"/>
        </w:rPr>
        <w:t>中山海关后勤管理中</w:t>
      </w:r>
      <w:r>
        <w:rPr>
          <w:rFonts w:hint="eastAsia"/>
          <w:b/>
          <w:sz w:val="80"/>
          <w:szCs w:val="80"/>
        </w:rPr>
        <w:t>心</w:t>
      </w:r>
      <w:r>
        <w:rPr>
          <w:b/>
          <w:sz w:val="80"/>
          <w:szCs w:val="80"/>
        </w:rPr>
        <w:t>202</w:t>
      </w:r>
      <w:r>
        <w:rPr>
          <w:rFonts w:hint="eastAsia"/>
          <w:b/>
          <w:sz w:val="80"/>
          <w:szCs w:val="80"/>
        </w:rPr>
        <w:t>6</w:t>
      </w:r>
      <w:r>
        <w:rPr>
          <w:b/>
          <w:sz w:val="80"/>
          <w:szCs w:val="80"/>
        </w:rPr>
        <w:t>年预算说明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w:t>
      </w:r>
      <w:r>
        <w:rPr>
          <w:rFonts w:eastAsia="方正黑体_GBK" w:hint="eastAsia"/>
          <w:sz w:val="32"/>
          <w:szCs w:val="32"/>
        </w:rPr>
        <w:t>中山后勤</w:t>
      </w:r>
      <w:r>
        <w:rPr>
          <w:rFonts w:eastAsia="方正黑体_GBK"/>
          <w:sz w:val="32"/>
          <w:szCs w:val="32"/>
        </w:rPr>
        <w:t>202</w:t>
      </w:r>
      <w:r>
        <w:rPr>
          <w:rFonts w:eastAsia="方正黑体_GBK" w:hint="eastAsia"/>
          <w:sz w:val="32"/>
          <w:szCs w:val="32"/>
        </w:rPr>
        <w:t>6</w:t>
      </w:r>
      <w:r>
        <w:rPr>
          <w:rFonts w:eastAsia="方正黑体_GBK"/>
          <w:sz w:val="32"/>
          <w:szCs w:val="32"/>
        </w:rPr>
        <w:t>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中山</w:t>
      </w:r>
      <w:r>
        <w:rPr>
          <w:rFonts w:eastAsia="方正仿宋_GBK"/>
          <w:sz w:val="32"/>
          <w:szCs w:val="32"/>
        </w:rPr>
        <w:t>海关</w:t>
      </w:r>
      <w:r>
        <w:rPr>
          <w:rFonts w:eastAsia="方正仿宋_GBK" w:hint="eastAsia"/>
          <w:sz w:val="32"/>
          <w:szCs w:val="32"/>
        </w:rPr>
        <w:t>后勤管理中心</w:t>
      </w:r>
      <w:r>
        <w:rPr>
          <w:rFonts w:eastAsia="方正仿宋_GBK"/>
          <w:sz w:val="32"/>
          <w:szCs w:val="32"/>
        </w:rPr>
        <w:t>所有收入和支出均纳入部门预算管理。收入包括：一般公共预算拨款收入、事业收入、其他收入、使用非财政拨款结余；支出包括：一般公共服务支出、社会保障和就业支出、卫生健康支出、住房保障支出。</w:t>
      </w:r>
      <w:r>
        <w:rPr>
          <w:rFonts w:eastAsia="方正仿宋_GBK" w:hint="eastAsia"/>
          <w:sz w:val="32"/>
          <w:szCs w:val="32"/>
        </w:rPr>
        <w:t>中山</w:t>
      </w:r>
      <w:r>
        <w:rPr>
          <w:rFonts w:eastAsia="方正仿宋_GBK"/>
          <w:sz w:val="32"/>
          <w:szCs w:val="32"/>
        </w:rPr>
        <w:t>海关</w:t>
      </w:r>
      <w:r>
        <w:rPr>
          <w:rFonts w:eastAsia="方正仿宋_GBK" w:hint="eastAsia"/>
          <w:sz w:val="32"/>
          <w:szCs w:val="32"/>
        </w:rPr>
        <w:t>后勤管理中心</w:t>
      </w:r>
      <w:r>
        <w:rPr>
          <w:rFonts w:eastAsia="方正仿宋_GBK"/>
          <w:sz w:val="32"/>
          <w:szCs w:val="32"/>
        </w:rPr>
        <w:t>202</w:t>
      </w:r>
      <w:r>
        <w:rPr>
          <w:rFonts w:eastAsia="方正仿宋_GBK" w:hint="eastAsia"/>
          <w:sz w:val="32"/>
          <w:szCs w:val="32"/>
        </w:rPr>
        <w:t>6</w:t>
      </w:r>
      <w:r>
        <w:rPr>
          <w:rFonts w:eastAsia="方正仿宋_GBK"/>
          <w:sz w:val="32"/>
          <w:szCs w:val="32"/>
        </w:rPr>
        <w:t>年收支总预算</w:t>
      </w:r>
      <w:r>
        <w:rPr>
          <w:rFonts w:eastAsia="方正仿宋_GBK" w:hint="eastAsia"/>
          <w:sz w:val="32"/>
          <w:szCs w:val="32"/>
        </w:rPr>
        <w:t>2081.37</w:t>
      </w:r>
      <w:r>
        <w:rPr>
          <w:rFonts w:eastAsia="方正仿宋_GBK"/>
          <w:sz w:val="32"/>
          <w:szCs w:val="32"/>
        </w:rPr>
        <w:t>万元。</w:t>
      </w:r>
    </w:p>
    <w:p>
      <w:pPr>
        <w:pStyle w:val="30"/>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中山后勤</w:t>
      </w:r>
      <w:r>
        <w:rPr>
          <w:rFonts w:eastAsia="方正黑体_GBK"/>
          <w:sz w:val="32"/>
          <w:szCs w:val="32"/>
        </w:rPr>
        <w:t>202</w:t>
      </w:r>
      <w:r>
        <w:rPr>
          <w:rFonts w:eastAsia="方正黑体_GBK" w:hint="eastAsia"/>
          <w:sz w:val="32"/>
          <w:szCs w:val="32"/>
        </w:rPr>
        <w:t>6</w:t>
      </w:r>
      <w:r>
        <w:rPr>
          <w:rFonts w:eastAsia="方正黑体_GBK"/>
          <w:sz w:val="32"/>
          <w:szCs w:val="32"/>
        </w:rPr>
        <w:t>年收入预算情况说明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t>中山</w:t>
      </w:r>
      <w:r>
        <w:rPr>
          <w:rFonts w:eastAsia="方正仿宋_GBK"/>
          <w:sz w:val="32"/>
          <w:szCs w:val="32"/>
        </w:rPr>
        <w:t>海关</w:t>
      </w:r>
      <w:r>
        <w:rPr>
          <w:rFonts w:eastAsia="方正仿宋_GBK" w:hint="eastAsia"/>
          <w:sz w:val="32"/>
          <w:szCs w:val="32"/>
        </w:rPr>
        <w:t>后勤管理中心</w:t>
      </w:r>
      <w:r>
        <w:rPr>
          <w:rFonts w:eastAsia="方正仿宋_GBK"/>
          <w:sz w:val="32"/>
          <w:szCs w:val="32"/>
        </w:rPr>
        <w:t>202</w:t>
      </w:r>
      <w:r>
        <w:rPr>
          <w:rFonts w:eastAsia="方正仿宋_GBK" w:hint="eastAsia"/>
          <w:sz w:val="32"/>
          <w:szCs w:val="32"/>
        </w:rPr>
        <w:t>6</w:t>
      </w:r>
      <w:r>
        <w:rPr>
          <w:rFonts w:eastAsia="方正仿宋_GBK"/>
          <w:sz w:val="32"/>
          <w:szCs w:val="32"/>
        </w:rPr>
        <w:t>年收入预算</w:t>
      </w:r>
      <w:r>
        <w:rPr>
          <w:rFonts w:eastAsia="方正仿宋_GBK" w:hint="eastAsia"/>
          <w:sz w:val="32"/>
          <w:szCs w:val="32"/>
        </w:rPr>
        <w:t>2081.37</w:t>
      </w:r>
      <w:r>
        <w:rPr>
          <w:rFonts w:eastAsia="方正仿宋_GBK"/>
          <w:sz w:val="32"/>
          <w:szCs w:val="32"/>
        </w:rPr>
        <w:t>万元，其中：一般公共预算财政拨款177.01万元，占</w:t>
      </w:r>
      <w:r>
        <w:rPr>
          <w:rFonts w:eastAsia="方正仿宋_GBK" w:hint="eastAsia"/>
          <w:sz w:val="32"/>
          <w:szCs w:val="32"/>
        </w:rPr>
        <w:t>8</w:t>
      </w:r>
      <w:r>
        <w:rPr>
          <w:rFonts w:eastAsia="方正仿宋_GBK"/>
          <w:sz w:val="32"/>
          <w:szCs w:val="32"/>
        </w:rPr>
        <w:t>%；事业收</w:t>
      </w:r>
      <w:bookmarkStart w:id="1" w:name="_GoBack"/>
      <w:bookmarkEnd w:id="1"/>
      <w:r>
        <w:rPr>
          <w:rFonts w:eastAsia="方正仿宋_GBK"/>
          <w:sz w:val="32"/>
          <w:szCs w:val="32"/>
        </w:rPr>
        <w:t>入993.4万元，占</w:t>
      </w:r>
      <w:r>
        <w:rPr>
          <w:rFonts w:eastAsia="方正仿宋_GBK" w:hint="eastAsia"/>
          <w:sz w:val="32"/>
          <w:szCs w:val="32"/>
        </w:rPr>
        <w:t>48</w:t>
      </w:r>
      <w:r>
        <w:rPr>
          <w:rFonts w:eastAsia="方正仿宋_GBK"/>
          <w:sz w:val="32"/>
          <w:szCs w:val="32"/>
        </w:rPr>
        <w:t>%；其他收入760.5万元，占</w:t>
      </w:r>
      <w:r>
        <w:rPr>
          <w:rFonts w:eastAsia="方正仿宋_GBK" w:hint="eastAsia"/>
          <w:sz w:val="32"/>
          <w:szCs w:val="32"/>
        </w:rPr>
        <w:t>37</w:t>
      </w:r>
      <w:r>
        <w:rPr>
          <w:rFonts w:eastAsia="方正仿宋_GBK"/>
          <w:sz w:val="32"/>
          <w:szCs w:val="32"/>
        </w:rPr>
        <w:t>%；使用非财政拨款结余150.46万元，占</w:t>
      </w:r>
      <w:r>
        <w:rPr>
          <w:rFonts w:eastAsia="方正仿宋_GBK" w:hint="eastAsia"/>
          <w:sz w:val="32"/>
          <w:szCs w:val="32"/>
        </w:rPr>
        <w:t>7</w:t>
      </w:r>
      <w:r>
        <w:rPr>
          <w:rFonts w:eastAsia="方正仿宋_GBK"/>
          <w:sz w:val="32"/>
          <w:szCs w:val="32"/>
        </w:rPr>
        <w:t>%。</w:t>
      </w:r>
    </w:p>
    <w:p>
      <w:pPr>
        <w:pStyle w:val="30"/>
        <w:spacing w:line="560" w:lineRule="exact"/>
        <w:ind w:firstLineChars="200" w:firstLine="640"/>
        <w:rPr>
          <w:rFonts w:eastAsia="方正仿宋_GBK"/>
          <w:b/>
          <w:sz w:val="32"/>
          <w:szCs w:val="32"/>
        </w:rPr>
      </w:pPr>
      <w:r>
        <w:rPr>
          <w:rFonts w:eastAsia="方正仿宋_GBK" w:hint="eastAsia"/>
          <w:sz w:val="32"/>
          <w:szCs w:val="32"/>
        </w:rPr>
        <w:t xml:space="preserve">                </w:t>
      </w:r>
      <w:r>
        <w:rPr>
          <w:rFonts w:eastAsia="方正仿宋_GBK" w:hint="eastAsia"/>
          <w:b/>
          <w:sz w:val="32"/>
          <w:szCs w:val="32"/>
        </w:rPr>
        <w:t>收入预算</w:t>
      </w:r>
    </w:p>
    <w:p>
      <w:pPr>
        <w:pStyle w:val="4"/>
        <w:rPr>
          <w:rFonts w:ascii="Times New Roman" w:hAnsi="Times New Roman"/>
        </w:rPr>
      </w:pPr>
      <w:r>
        <w:rPr>
          <w:rFonts w:ascii="Times New Roman" w:hAnsi="Times New Roman"/>
        </w:rPr>
        <w:drawing>
          <wp:inline distT="0" distB="0" distL="0" distR="0">
            <wp:extent cx="4657725" cy="2809875"/>
            <wp:effectExtent l="0" t="0" r="0" b="0"/>
            <wp:docPr id="16" name="图片 2" descr="C:\Users\6469\Desktop\1112.PNG"/>
            <wp:cNvGraphicFramePr>
              <a:graphicFrameLocks noChangeAspect="1"/>
            </wp:cNvGraphicFramePr>
            <a:graphic>
              <a:graphicData uri="http://schemas.openxmlformats.org/drawingml/2006/picture">
                <pic:pic>
                  <pic:nvPicPr>
                    <pic:cNvPr id="18" name="图片 2 18"/>
                    <pic:cNvPicPr/>
                  </pic:nvPicPr>
                  <pic:blipFill>
                    <a:blip r:embed="rId8"/>
                    <a:stretch>
                      <a:fillRect/>
                    </a:stretch>
                  </pic:blipFill>
                  <pic:spPr>
                    <a:xfrm rot="0">
                      <a:off x="0" y="0"/>
                      <a:ext cx="4657725" cy="2809875"/>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三、关于中山后勤</w:t>
      </w:r>
      <w:r>
        <w:rPr>
          <w:rFonts w:eastAsia="方正黑体_GBK"/>
          <w:sz w:val="32"/>
          <w:szCs w:val="32"/>
        </w:rPr>
        <w:t>202</w:t>
      </w:r>
      <w:r>
        <w:rPr>
          <w:rFonts w:eastAsia="方正黑体_GBK" w:hint="eastAsia"/>
          <w:sz w:val="32"/>
          <w:szCs w:val="32"/>
        </w:rPr>
        <w:t>6年支出预算情况说明</w:t>
      </w:r>
    </w:p>
    <w:p>
      <w:pPr>
        <w:pStyle w:val="30"/>
        <w:spacing w:line="560" w:lineRule="exact"/>
        <w:ind w:firstLineChars="200" w:firstLine="640"/>
        <w:rPr>
          <w:rFonts w:eastAsia="方正仿宋_GBK" w:hint="eastAsia"/>
          <w:sz w:val="32"/>
          <w:szCs w:val="32"/>
        </w:rPr>
      </w:pPr>
      <w:r>
        <w:rPr>
          <w:rFonts w:eastAsia="方正仿宋_GBK" w:hint="eastAsia"/>
          <w:sz w:val="32"/>
          <w:szCs w:val="32"/>
        </w:rPr>
        <w:t>中山</w:t>
      </w:r>
      <w:r>
        <w:rPr>
          <w:rFonts w:eastAsia="方正仿宋_GBK"/>
          <w:sz w:val="32"/>
          <w:szCs w:val="32"/>
        </w:rPr>
        <w:t>海关</w:t>
      </w:r>
      <w:r>
        <w:rPr>
          <w:rFonts w:eastAsia="方正仿宋_GBK" w:hint="eastAsia"/>
          <w:sz w:val="32"/>
          <w:szCs w:val="32"/>
        </w:rPr>
        <w:t>后勤管理中心</w:t>
      </w:r>
      <w:r>
        <w:rPr>
          <w:rFonts w:eastAsia="方正仿宋_GBK"/>
          <w:sz w:val="32"/>
          <w:szCs w:val="32"/>
        </w:rPr>
        <w:t>202</w:t>
      </w:r>
      <w:r>
        <w:rPr>
          <w:rFonts w:eastAsia="方正仿宋_GBK" w:hint="eastAsia"/>
          <w:sz w:val="32"/>
          <w:szCs w:val="32"/>
        </w:rPr>
        <w:t>6年支出预算2081.37万元，其中：基本支出2081.37万元，占100%。</w:t>
      </w:r>
    </w:p>
    <w:p>
      <w:pPr>
        <w:pStyle w:val="5"/>
      </w:pPr>
      <w:r>
        <w:drawing>
          <wp:inline distT="0" distB="0" distL="0" distR="0">
            <wp:extent cx="4619625" cy="2809875"/>
            <wp:effectExtent l="0" t="0" r="0" b="0"/>
            <wp:docPr id="19" name="图片 1" descr="C:\Users\6469\Desktop\34.PNG"/>
            <wp:cNvGraphicFramePr>
              <a:graphicFrameLocks noChangeAspect="1"/>
            </wp:cNvGraphicFramePr>
            <a:graphic>
              <a:graphicData uri="http://schemas.openxmlformats.org/drawingml/2006/picture">
                <pic:pic>
                  <pic:nvPicPr>
                    <pic:cNvPr id="21" name="图片 1 21"/>
                    <pic:cNvPicPr/>
                  </pic:nvPicPr>
                  <pic:blipFill>
                    <a:blip r:embed="rId9"/>
                    <a:stretch>
                      <a:fillRect/>
                    </a:stretch>
                  </pic:blipFill>
                  <pic:spPr>
                    <a:xfrm rot="0">
                      <a:off x="0" y="0"/>
                      <a:ext cx="4619625" cy="2809875"/>
                    </a:xfrm>
                    <a:prstGeom prst="rect"/>
                    <a:noFill/>
                    <a:ln w="9525" cmpd="sng" cap="flat">
                      <a:noFill/>
                      <a:prstDash val="solid"/>
                      <a:miter/>
                    </a:ln>
                  </pic:spPr>
                </pic:pic>
              </a:graphicData>
            </a:graphic>
          </wp:inline>
        </w:drawing>
      </w:r>
    </w:p>
    <w:p>
      <w:pPr>
        <w:pStyle w:val="30"/>
        <w:spacing w:line="560" w:lineRule="exact"/>
        <w:ind w:firstLineChars="200" w:firstLine="640"/>
        <w:rPr>
          <w:sz w:val="32"/>
          <w:szCs w:val="32"/>
        </w:rPr>
      </w:pPr>
    </w:p>
    <w:p>
      <w:pPr>
        <w:pStyle w:val="30"/>
        <w:spacing w:line="560" w:lineRule="exact"/>
        <w:ind w:firstLineChars="200" w:firstLine="640"/>
        <w:rPr>
          <w:rFonts w:eastAsia="方正黑体_GBK"/>
          <w:sz w:val="32"/>
          <w:szCs w:val="32"/>
        </w:rPr>
      </w:pPr>
      <w:r>
        <w:rPr>
          <w:rFonts w:eastAsia="方正黑体_GBK" w:hint="eastAsia"/>
          <w:sz w:val="32"/>
          <w:szCs w:val="32"/>
        </w:rPr>
        <w:t>四、关于中山后勤2026年财政拨款收支预算情况的总体说明</w:t>
      </w:r>
    </w:p>
    <w:p>
      <w:pPr>
        <w:spacing w:line="560" w:lineRule="exact"/>
        <w:ind w:firstLineChars="200" w:firstLine="640"/>
        <w:rPr>
          <w:rFonts w:eastAsia="方正仿宋_GBK"/>
          <w:sz w:val="32"/>
          <w:szCs w:val="32"/>
        </w:rPr>
      </w:pPr>
      <w:r>
        <w:rPr>
          <w:rFonts w:eastAsia="方正仿宋_GBK" w:hint="eastAsia"/>
          <w:sz w:val="32"/>
          <w:szCs w:val="32"/>
        </w:rPr>
        <w:t>中山海关后勤管理中心2026年财政拨款收支总预算</w:t>
      </w:r>
      <w:r>
        <w:rPr>
          <w:rFonts w:eastAsia="方正楷体_GBK" w:hint="eastAsia"/>
          <w:b/>
          <w:kern w:val="0"/>
          <w:sz w:val="32"/>
          <w:szCs w:val="32"/>
        </w:rPr>
        <w:t>177.01</w:t>
      </w:r>
      <w:r>
        <w:rPr>
          <w:rFonts w:eastAsia="方正仿宋_GBK" w:hint="eastAsia"/>
          <w:sz w:val="32"/>
          <w:szCs w:val="32"/>
        </w:rPr>
        <w:t>万元。收入全部为一般公共预算拨款，无政府性基金预算拨款。收入包括：一般公共预算当年财政拨款收入</w:t>
      </w:r>
      <w:r>
        <w:rPr>
          <w:rFonts w:eastAsia="方正楷体_GBK" w:hint="eastAsia"/>
          <w:b/>
          <w:kern w:val="0"/>
          <w:sz w:val="32"/>
          <w:szCs w:val="32"/>
        </w:rPr>
        <w:t>177.01</w:t>
      </w:r>
      <w:r>
        <w:rPr>
          <w:rFonts w:eastAsia="方正仿宋_GBK"/>
          <w:sz w:val="32"/>
          <w:szCs w:val="32"/>
        </w:rPr>
        <w:t>万</w:t>
      </w:r>
      <w:r>
        <w:rPr>
          <w:rFonts w:eastAsia="方正仿宋_GBK" w:hint="eastAsia"/>
          <w:sz w:val="32"/>
          <w:szCs w:val="32"/>
        </w:rPr>
        <w:t>元、上年结转0万元。支出包括：一般公共服务支出</w:t>
      </w:r>
      <w:r>
        <w:rPr>
          <w:rFonts w:cs="宋体" w:hint="eastAsia"/>
          <w:color w:val="000000"/>
          <w:kern w:val="0"/>
          <w:sz w:val="32"/>
          <w:szCs w:val="32"/>
        </w:rPr>
        <w:t>78</w:t>
      </w:r>
      <w:r>
        <w:rPr>
          <w:rFonts w:eastAsia="方正仿宋_GBK" w:hint="eastAsia"/>
          <w:sz w:val="32"/>
          <w:szCs w:val="32"/>
        </w:rPr>
        <w:t>万元</w:t>
      </w:r>
      <w:r>
        <w:rPr>
          <w:rFonts w:eastAsia="方正仿宋_GBK"/>
          <w:sz w:val="32"/>
          <w:szCs w:val="32"/>
        </w:rPr>
        <w:t>，</w:t>
      </w:r>
      <w:r>
        <w:rPr>
          <w:rFonts w:eastAsia="方正仿宋_GBK" w:hint="eastAsia"/>
          <w:sz w:val="32"/>
          <w:szCs w:val="32"/>
        </w:rPr>
        <w:t>占44%；社会保障和就业支出76.93万元</w:t>
      </w:r>
      <w:r>
        <w:rPr>
          <w:rFonts w:eastAsia="方正仿宋_GBK"/>
          <w:sz w:val="32"/>
          <w:szCs w:val="32"/>
        </w:rPr>
        <w:t>，</w:t>
      </w:r>
      <w:r>
        <w:rPr>
          <w:rFonts w:eastAsia="方正仿宋_GBK" w:hint="eastAsia"/>
          <w:sz w:val="32"/>
          <w:szCs w:val="32"/>
        </w:rPr>
        <w:t>占43%；住房保障支出22.08万元</w:t>
      </w:r>
      <w:r>
        <w:rPr>
          <w:rFonts w:eastAsia="方正仿宋_GBK"/>
          <w:sz w:val="32"/>
          <w:szCs w:val="32"/>
        </w:rPr>
        <w:t>，</w:t>
      </w:r>
      <w:r>
        <w:rPr>
          <w:rFonts w:eastAsia="方正仿宋_GBK" w:hint="eastAsia"/>
          <w:sz w:val="32"/>
          <w:szCs w:val="32"/>
        </w:rPr>
        <w:t>占13%。</w:t>
      </w:r>
    </w:p>
    <w:p>
      <w:pPr>
        <w:pStyle w:val="4"/>
        <w:rPr>
          <w:rFonts w:ascii="Times New Roman" w:hAnsi="Times New Roman"/>
        </w:rPr>
      </w:pPr>
      <w:r>
        <w:rPr>
          <w:rFonts w:ascii="Times New Roman" w:hAnsi="Times New Roman"/>
        </w:rPr>
        <w:drawing>
          <wp:inline distT="0" distB="0" distL="0" distR="0">
            <wp:extent cx="5305425" cy="3171825"/>
            <wp:effectExtent l="0" t="0" r="0" b="0"/>
            <wp:docPr id="22" name="图片 7" descr="C:\Users\6469\Desktop\2.PNG"/>
            <wp:cNvGraphicFramePr>
              <a:graphicFrameLocks noChangeAspect="1"/>
            </wp:cNvGraphicFramePr>
            <a:graphic>
              <a:graphicData uri="http://schemas.openxmlformats.org/drawingml/2006/picture">
                <pic:pic>
                  <pic:nvPicPr>
                    <pic:cNvPr id="24" name="图片 7 24"/>
                    <pic:cNvPicPr/>
                  </pic:nvPicPr>
                  <pic:blipFill>
                    <a:blip r:embed="rId10"/>
                    <a:stretch>
                      <a:fillRect/>
                    </a:stretch>
                  </pic:blipFill>
                  <pic:spPr>
                    <a:xfrm rot="0">
                      <a:off x="0" y="0"/>
                      <a:ext cx="5305425" cy="3171825"/>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五、关于中山后勤2026年一般公共预算当年财政拨款情况说明</w:t>
      </w:r>
    </w:p>
    <w:p>
      <w:pPr>
        <w:spacing w:line="560" w:lineRule="exact"/>
        <w:ind w:firstLineChars="200" w:firstLine="640"/>
        <w:jc w:val="left"/>
        <w:rPr>
          <w:rFonts w:eastAsia="方正楷体_GBK" w:cs="方正楷体_GBK"/>
          <w:b/>
          <w:bCs/>
          <w:sz w:val="32"/>
          <w:szCs w:val="32"/>
          <w:lang w:val="zh-CN"/>
        </w:rPr>
      </w:pPr>
      <w:r>
        <w:rPr>
          <w:rFonts w:eastAsia="方正楷体_GBK" w:cs="方正楷体_GBK" w:hint="eastAsia"/>
          <w:b/>
          <w:bCs/>
          <w:sz w:val="32"/>
          <w:szCs w:val="32"/>
        </w:rPr>
        <w:t>（一）</w:t>
      </w:r>
      <w:r>
        <w:rPr>
          <w:rFonts w:eastAsia="方正楷体_GBK" w:cs="方正楷体_GBK" w:hint="eastAsia"/>
          <w:b/>
          <w:bCs/>
          <w:sz w:val="32"/>
          <w:szCs w:val="32"/>
          <w:lang w:val="zh-CN"/>
        </w:rPr>
        <w:t>一般公共预算当年财政拨款规模变化情况。</w:t>
      </w:r>
    </w:p>
    <w:p>
      <w:pPr>
        <w:spacing w:line="560" w:lineRule="exact"/>
        <w:ind w:firstLineChars="200" w:firstLine="640"/>
        <w:jc w:val="left"/>
        <w:rPr>
          <w:rFonts w:eastAsia="方正仿宋_GBK"/>
          <w:sz w:val="32"/>
          <w:szCs w:val="32"/>
        </w:rPr>
      </w:pPr>
      <w:r>
        <w:rPr>
          <w:rFonts w:eastAsia="方正仿宋_GBK" w:hint="eastAsia"/>
          <w:sz w:val="32"/>
          <w:szCs w:val="32"/>
        </w:rPr>
        <w:t>中山海关后勤管理中心2026年一般公共预算当年财政拨款预算177.01万元，比2025年执行数增加32.76万元，增长22.71%。</w:t>
      </w:r>
    </w:p>
    <w:p>
      <w:pPr>
        <w:spacing w:line="560" w:lineRule="exact"/>
        <w:ind w:firstLineChars="200" w:firstLine="640"/>
        <w:jc w:val="left"/>
        <w:rPr>
          <w:rFonts w:eastAsia="方正楷体_GBK" w:cs="方正楷体_GBK"/>
          <w:b/>
          <w:bCs/>
          <w:sz w:val="32"/>
          <w:szCs w:val="32"/>
          <w:lang w:val="zh-CN"/>
        </w:rPr>
      </w:pPr>
      <w:r>
        <w:rPr>
          <w:rFonts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rPr>
        <w:t>中山海关后勤管理中心2026年部门预算中，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用于以下方面：一般公共服务（类）支出78万元，占44%；社会保障和就业支出76.93万元</w:t>
      </w:r>
      <w:r>
        <w:rPr>
          <w:rFonts w:eastAsia="方正仿宋_GBK"/>
          <w:sz w:val="32"/>
          <w:szCs w:val="32"/>
        </w:rPr>
        <w:t>，</w:t>
      </w:r>
      <w:r>
        <w:rPr>
          <w:rFonts w:eastAsia="方正仿宋_GBK" w:hint="eastAsia"/>
          <w:sz w:val="32"/>
          <w:szCs w:val="32"/>
        </w:rPr>
        <w:t>占43%；住房保障支出22.08万元</w:t>
      </w:r>
      <w:r>
        <w:rPr>
          <w:rFonts w:eastAsia="方正仿宋_GBK"/>
          <w:sz w:val="32"/>
          <w:szCs w:val="32"/>
        </w:rPr>
        <w:t>，</w:t>
      </w:r>
      <w:r>
        <w:rPr>
          <w:rFonts w:eastAsia="方正仿宋_GBK" w:hint="eastAsia"/>
          <w:sz w:val="32"/>
          <w:szCs w:val="32"/>
        </w:rPr>
        <w:t>占13%。</w:t>
      </w:r>
    </w:p>
    <w:p>
      <w:pPr>
        <w:pStyle w:val="4"/>
        <w:rPr>
          <w:rFonts w:ascii="Times New Roman" w:hAnsi="Times New Roman"/>
        </w:rPr>
      </w:pPr>
      <w:r>
        <w:rPr>
          <w:rFonts w:ascii="Times New Roman" w:hAnsi="Times New Roman"/>
        </w:rPr>
        <w:drawing>
          <wp:inline distT="0" distB="0" distL="0" distR="0">
            <wp:extent cx="4638675" cy="3257550"/>
            <wp:effectExtent l="0" t="0" r="0" b="0"/>
            <wp:docPr id="25" name="图片 10" descr="C:\Users\6469\Desktop\3.PNG"/>
            <wp:cNvGraphicFramePr>
              <a:graphicFrameLocks noChangeAspect="1"/>
            </wp:cNvGraphicFramePr>
            <a:graphic>
              <a:graphicData uri="http://schemas.openxmlformats.org/drawingml/2006/picture">
                <pic:pic>
                  <pic:nvPicPr>
                    <pic:cNvPr id="27" name="图片 10 27"/>
                    <pic:cNvPicPr/>
                  </pic:nvPicPr>
                  <pic:blipFill>
                    <a:blip r:embed="rId11"/>
                    <a:stretch>
                      <a:fillRect/>
                    </a:stretch>
                  </pic:blipFill>
                  <pic:spPr>
                    <a:xfrm rot="0">
                      <a:off x="0" y="0"/>
                      <a:ext cx="4638675" cy="3257550"/>
                    </a:xfrm>
                    <a:prstGeom prst="rect"/>
                    <a:noFill/>
                    <a:ln w="9525" cmpd="sng" cap="flat">
                      <a:noFill/>
                      <a:prstDash val="solid"/>
                      <a:miter/>
                    </a:ln>
                  </pic:spPr>
                </pic:pic>
              </a:graphicData>
            </a:graphic>
          </wp:inline>
        </w:drawing>
      </w:r>
    </w:p>
    <w:p>
      <w:pPr>
        <w:spacing w:line="560" w:lineRule="exact"/>
        <w:ind w:firstLineChars="200" w:firstLine="640"/>
        <w:jc w:val="left"/>
        <w:rPr>
          <w:rFonts w:eastAsia="方正楷体_GBK" w:cs="方正楷体_GBK"/>
          <w:b/>
          <w:bCs/>
          <w:sz w:val="32"/>
          <w:szCs w:val="32"/>
          <w:lang w:val="zh-CN"/>
        </w:rPr>
      </w:pPr>
      <w:r>
        <w:rPr>
          <w:rFonts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1．一般公共服务支出（类）海关事务（款）2026年预算78万元，比2025年执行数增加15.31万元，增长24.42%，其中：</w:t>
      </w:r>
    </w:p>
    <w:p>
      <w:pPr>
        <w:spacing w:line="560" w:lineRule="exact"/>
        <w:ind w:firstLineChars="200" w:firstLine="640"/>
        <w:rPr>
          <w:rFonts w:eastAsia="方正仿宋_GBK"/>
          <w:sz w:val="32"/>
          <w:szCs w:val="32"/>
        </w:rPr>
      </w:pPr>
      <w:r>
        <w:rPr>
          <w:rFonts w:eastAsia="方正仿宋_GBK" w:hint="eastAsia"/>
          <w:sz w:val="32"/>
          <w:szCs w:val="32"/>
        </w:rPr>
        <w:t>机关服务（项）2026年预算78万元，比2025年执行数增加15.31万元，增长24.42%。主要是机关服务支出增加。</w:t>
      </w:r>
    </w:p>
    <w:p>
      <w:pPr>
        <w:spacing w:line="560" w:lineRule="exact"/>
        <w:ind w:firstLineChars="200" w:firstLine="640"/>
        <w:rPr>
          <w:rFonts w:eastAsia="方正仿宋_GBK"/>
          <w:sz w:val="32"/>
          <w:szCs w:val="32"/>
        </w:rPr>
      </w:pPr>
      <w:r>
        <w:rPr>
          <w:rFonts w:eastAsia="方正仿宋_GBK" w:hint="eastAsia"/>
          <w:sz w:val="32"/>
          <w:szCs w:val="32"/>
        </w:rPr>
        <w:t>2．社会保障和就业支出（类）行政事业单位养老支出（款）2026年预算76.93万元，比2025年执行数增加21.17万元，增长37.97%。其中：</w:t>
      </w:r>
    </w:p>
    <w:p>
      <w:pPr>
        <w:spacing w:line="560" w:lineRule="exact"/>
        <w:ind w:firstLineChars="200" w:firstLine="640"/>
        <w:rPr>
          <w:rFonts w:eastAsia="方正仿宋_GBK"/>
          <w:sz w:val="32"/>
          <w:szCs w:val="32"/>
        </w:rPr>
      </w:pPr>
      <w:r>
        <w:rPr>
          <w:rFonts w:eastAsia="方正仿宋_GBK" w:hint="eastAsia"/>
          <w:sz w:val="32"/>
          <w:szCs w:val="32"/>
        </w:rPr>
        <w:t>（1）机关事业单位基本养老保险缴费支出（项）2026年预算50.96万元，比2025年执行数增加13.79 万元，增长37.10%。主要是对基本养老保险单位缴费经费加大预算保障力度。</w:t>
      </w:r>
    </w:p>
    <w:p>
      <w:pPr>
        <w:spacing w:line="560" w:lineRule="exact"/>
        <w:ind w:firstLineChars="200" w:firstLine="640"/>
        <w:rPr>
          <w:rFonts w:eastAsia="方正仿宋_GBK"/>
          <w:sz w:val="32"/>
          <w:szCs w:val="32"/>
        </w:rPr>
      </w:pPr>
      <w:r>
        <w:rPr>
          <w:rFonts w:eastAsia="方正仿宋_GBK" w:hint="eastAsia"/>
          <w:sz w:val="32"/>
          <w:szCs w:val="32"/>
        </w:rPr>
        <w:t>（2）机关事业单位职业年金缴费支出（项）2026年预算25.97万元，比2025年执行数增加7.38万元，增长39.70%。主要是对职业年金单位缴费加大预算保障力度。</w:t>
      </w:r>
    </w:p>
    <w:p>
      <w:pPr>
        <w:spacing w:line="560" w:lineRule="exact"/>
        <w:ind w:firstLineChars="200" w:firstLine="640"/>
        <w:rPr>
          <w:rFonts w:eastAsia="方正仿宋_GBK"/>
          <w:sz w:val="32"/>
          <w:szCs w:val="32"/>
        </w:rPr>
      </w:pPr>
      <w:r>
        <w:rPr>
          <w:rFonts w:eastAsia="方正仿宋_GBK" w:hint="eastAsia"/>
          <w:sz w:val="32"/>
          <w:szCs w:val="32"/>
        </w:rPr>
        <w:t>3．住房保障支出（类）住房改革支出（款）2026年预算22.08万元，比2025年执行数减少3.72万元，下降14.42%。其中：</w:t>
      </w:r>
    </w:p>
    <w:p>
      <w:pPr>
        <w:spacing w:line="560" w:lineRule="exact"/>
        <w:ind w:firstLineChars="200" w:firstLine="640"/>
        <w:rPr>
          <w:rFonts w:eastAsia="方正仿宋_GBK"/>
          <w:sz w:val="32"/>
          <w:szCs w:val="32"/>
        </w:rPr>
      </w:pPr>
      <w:r>
        <w:rPr>
          <w:rFonts w:eastAsia="方正仿宋_GBK" w:hint="eastAsia"/>
          <w:sz w:val="32"/>
          <w:szCs w:val="32"/>
        </w:rPr>
        <w:t>住房公积金（项）2026年预算22.08万元，比2025年执行数减少3.72万元，下降14.42%。</w:t>
      </w:r>
    </w:p>
    <w:p>
      <w:pPr>
        <w:pStyle w:val="30"/>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sz w:val="32"/>
          <w:szCs w:val="32"/>
        </w:rPr>
        <w:t>中山后勤</w:t>
      </w:r>
      <w:r>
        <w:rPr>
          <w:rFonts w:eastAsia="方正黑体_GBK" w:hint="eastAsia"/>
          <w:sz w:val="32"/>
          <w:szCs w:val="32"/>
        </w:rPr>
        <w:t>2026年一般公共预算基本支出情况说明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中山</w:t>
      </w:r>
      <w:r>
        <w:rPr>
          <w:rFonts w:eastAsia="方正仿宋_GBK"/>
          <w:sz w:val="32"/>
          <w:szCs w:val="32"/>
        </w:rPr>
        <w:t>海关</w:t>
      </w:r>
      <w:r>
        <w:rPr>
          <w:rFonts w:eastAsia="方正仿宋_GBK" w:hint="eastAsia"/>
          <w:sz w:val="32"/>
          <w:szCs w:val="32"/>
        </w:rPr>
        <w:t>后勤管理中心</w:t>
      </w:r>
      <w:r>
        <w:rPr>
          <w:rFonts w:eastAsia="方正仿宋_GBK"/>
          <w:sz w:val="32"/>
          <w:szCs w:val="32"/>
        </w:rPr>
        <w:t>202</w:t>
      </w:r>
      <w:r>
        <w:rPr>
          <w:rFonts w:eastAsia="方正仿宋_GBK" w:hint="eastAsia"/>
          <w:sz w:val="32"/>
          <w:szCs w:val="32"/>
        </w:rPr>
        <w:t>6年一般公共预算基本支出177.01万元，其中：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151.01</w:t>
      </w:r>
      <w:r>
        <w:rPr>
          <w:rFonts w:eastAsia="方正仿宋_GBK" w:hint="eastAsia"/>
          <w:sz w:val="32"/>
          <w:szCs w:val="32"/>
        </w:rPr>
        <w:t>万元，主要包括：基本工资、机关事业单位基本养老保险缴费、职业年金缴费、住房公积金支出；</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26</w:t>
      </w:r>
      <w:r>
        <w:rPr>
          <w:rFonts w:eastAsia="方正仿宋_GBK" w:hint="eastAsia"/>
          <w:sz w:val="32"/>
          <w:szCs w:val="32"/>
        </w:rPr>
        <w:t>万元，主要包括：维修（护）费、办公费、差旅费、工会经费、其他交通费用、其他商品和服务支出、办公设备购置等。</w:t>
      </w:r>
    </w:p>
    <w:p>
      <w:pPr>
        <w:pStyle w:val="30"/>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sz w:val="32"/>
          <w:szCs w:val="32"/>
        </w:rPr>
        <w:t>中山后勤</w:t>
      </w:r>
      <w:r>
        <w:rPr>
          <w:rFonts w:eastAsia="方正黑体_GBK" w:hint="eastAsia"/>
          <w:sz w:val="32"/>
          <w:szCs w:val="32"/>
        </w:rPr>
        <w:t>2026年“三公”经费</w:t>
      </w:r>
      <w:r>
        <w:rPr>
          <w:rFonts w:eastAsia="方正黑体_GBK"/>
          <w:sz w:val="32"/>
          <w:szCs w:val="32"/>
        </w:rPr>
        <w:t>（财政拨款）</w:t>
      </w:r>
      <w:r>
        <w:rPr>
          <w:rFonts w:eastAsia="方正黑体_GBK" w:hint="eastAsia"/>
          <w:sz w:val="32"/>
          <w:szCs w:val="32"/>
        </w:rPr>
        <w:t>预算情况说明</w:t>
      </w:r>
    </w:p>
    <w:p>
      <w:pPr>
        <w:spacing w:line="560" w:lineRule="exact"/>
        <w:ind w:firstLineChars="200" w:firstLine="640"/>
        <w:rPr>
          <w:sz w:val="32"/>
          <w:szCs w:val="32"/>
        </w:rPr>
      </w:pPr>
      <w:r>
        <w:rPr>
          <w:rFonts w:eastAsia="方正仿宋_GBK" w:hint="eastAsia"/>
          <w:sz w:val="32"/>
          <w:szCs w:val="32"/>
        </w:rPr>
        <w:t>中山海关后勤管理中心2026年</w:t>
      </w:r>
      <w:r>
        <w:rPr>
          <w:rFonts w:eastAsia="方正仿宋_GBK" w:cs="方正仿宋_GBK" w:hint="eastAsia"/>
          <w:spacing w:val="-6"/>
          <w:sz w:val="32"/>
          <w:szCs w:val="32"/>
        </w:rPr>
        <w:t>无“三公”经费预算财政拨款收入，也无</w:t>
      </w:r>
      <w:r>
        <w:rPr>
          <w:rFonts w:eastAsia="方正仿宋_GBK" w:cs="方正仿宋_GBK"/>
          <w:spacing w:val="-6"/>
          <w:sz w:val="32"/>
          <w:szCs w:val="32"/>
        </w:rPr>
        <w:t>使用</w:t>
      </w:r>
      <w:r>
        <w:rPr>
          <w:rFonts w:eastAsia="方正仿宋_GBK" w:cs="方正仿宋_GBK" w:hint="eastAsia"/>
          <w:spacing w:val="-6"/>
          <w:sz w:val="32"/>
          <w:szCs w:val="32"/>
        </w:rPr>
        <w:t>财政拨款预算安排的支出</w:t>
      </w:r>
      <w:r>
        <w:rPr>
          <w:rFonts w:eastAsia="方正仿宋_GBK" w:hint="eastAsia"/>
          <w:sz w:val="32"/>
          <w:szCs w:val="32"/>
        </w:rPr>
        <w:t>，与2025年预算数持平。</w:t>
      </w:r>
    </w:p>
    <w:p>
      <w:pPr>
        <w:pStyle w:val="30"/>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中山后勤</w:t>
      </w:r>
      <w:r>
        <w:rPr>
          <w:rFonts w:eastAsia="方正黑体_GBK" w:hint="eastAsia"/>
          <w:sz w:val="32"/>
          <w:szCs w:val="32"/>
        </w:rPr>
        <w:t>2026年政府性基金预算收支情况说明</w:t>
      </w:r>
    </w:p>
    <w:p>
      <w:pPr>
        <w:spacing w:line="560" w:lineRule="exact"/>
        <w:ind w:firstLineChars="200" w:firstLine="640"/>
        <w:rPr>
          <w:sz w:val="32"/>
          <w:szCs w:val="32"/>
        </w:rPr>
      </w:pPr>
      <w:r>
        <w:rPr>
          <w:rFonts w:eastAsia="方正仿宋_GBK" w:hint="eastAsia"/>
          <w:sz w:val="32"/>
          <w:szCs w:val="32"/>
        </w:rPr>
        <w:t>中山海关后勤管理中心2026年无政府性基金预算收支。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中山后勤</w:t>
      </w:r>
      <w:r>
        <w:rPr>
          <w:rFonts w:eastAsia="方正黑体_GBK" w:hint="eastAsia"/>
          <w:sz w:val="32"/>
          <w:szCs w:val="32"/>
        </w:rPr>
        <w:t>2026年国有资本经营预算收支情况说明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rPr>
        <w:t>中山海关后勤管理中心2026年无国有</w:t>
      </w:r>
      <w:r>
        <w:rPr>
          <w:rFonts w:eastAsia="方正仿宋_GBK"/>
          <w:sz w:val="32"/>
          <w:szCs w:val="32"/>
        </w:rPr>
        <w:t>资本</w:t>
      </w:r>
      <w:r>
        <w:rPr>
          <w:rFonts w:eastAsia="方正仿宋_GBK" w:hint="eastAsia"/>
          <w:sz w:val="32"/>
          <w:szCs w:val="32"/>
        </w:rPr>
        <w:t>经营预算收支。</w:t>
      </w:r>
    </w:p>
    <w:p>
      <w:pPr>
        <w:pStyle w:val="30"/>
        <w:spacing w:line="560" w:lineRule="exact"/>
        <w:ind w:firstLineChars="200" w:firstLine="640"/>
        <w:rPr>
          <w:rFonts w:eastAsia="方正黑体_GBK" w:hint="eastAsia"/>
          <w:sz w:val="32"/>
          <w:szCs w:val="32"/>
        </w:rPr>
      </w:pPr>
      <w:r>
        <w:rPr>
          <w:rFonts w:eastAsia="方正黑体_GBK" w:hint="eastAsia"/>
          <w:sz w:val="32"/>
          <w:szCs w:val="32"/>
        </w:rPr>
        <w:t>十、其他重要事项情况说明</w:t>
      </w:r>
    </w:p>
    <w:p>
      <w:pPr>
        <w:spacing w:line="560" w:lineRule="exact"/>
        <w:ind w:firstLine="630"/>
        <w:rPr>
          <w:rFonts w:eastAsia="方正仿宋_GBK"/>
          <w:sz w:val="32"/>
          <w:szCs w:val="32"/>
        </w:rPr>
      </w:pPr>
      <w:r>
        <w:rPr>
          <w:rFonts w:eastAsia="方正楷体_GBK" w:cs="方正楷体_GBK" w:hint="eastAsia"/>
          <w:b/>
          <w:bCs/>
          <w:sz w:val="32"/>
          <w:szCs w:val="32"/>
          <w:lang w:val="zh-CN"/>
        </w:rPr>
        <w:t>（一）政府采购情况。</w:t>
      </w:r>
    </w:p>
    <w:p>
      <w:pPr>
        <w:spacing w:line="560" w:lineRule="exact"/>
        <w:ind w:firstLineChars="200" w:firstLine="640"/>
        <w:jc w:val="distribute"/>
        <w:rPr>
          <w:rFonts w:eastAsia="方正仿宋_GBK" w:hint="eastAsia"/>
          <w:sz w:val="32"/>
          <w:szCs w:val="32"/>
        </w:rPr>
      </w:pPr>
      <w:r>
        <w:rPr>
          <w:rFonts w:eastAsia="方正仿宋_GBK" w:hint="eastAsia"/>
          <w:sz w:val="32"/>
          <w:szCs w:val="32"/>
        </w:rPr>
        <w:t>2026年</w:t>
      </w:r>
      <w:r>
        <w:rPr>
          <w:rFonts w:eastAsia="方正仿宋_GBK"/>
          <w:sz w:val="32"/>
          <w:szCs w:val="32"/>
        </w:rPr>
        <w:t>中山海关后勤管理中心</w:t>
      </w:r>
      <w:r>
        <w:rPr>
          <w:rFonts w:eastAsia="方正仿宋_GBK" w:hint="eastAsia"/>
          <w:sz w:val="32"/>
          <w:szCs w:val="32"/>
        </w:rPr>
        <w:t>政府采购预算总额763.50万元，其中：政府采购服务预算760万元、政府采购货物预算3.5万元。</w:t>
      </w:r>
    </w:p>
    <w:p>
      <w:pPr>
        <w:spacing w:line="560" w:lineRule="exact"/>
        <w:ind w:firstLine="630"/>
        <w:rPr>
          <w:rFonts w:eastAsia="方正仿宋_GBK"/>
          <w:sz w:val="32"/>
          <w:szCs w:val="32"/>
        </w:rPr>
      </w:pPr>
      <w:r>
        <w:rPr>
          <w:rFonts w:eastAsia="方正楷体_GBK" w:cs="方正楷体_GBK" w:hint="eastAsia"/>
          <w:b/>
          <w:bCs/>
          <w:sz w:val="32"/>
          <w:szCs w:val="32"/>
          <w:lang w:val="zh-CN"/>
        </w:rPr>
        <w:t>（二）委托业务费情况。</w:t>
      </w:r>
    </w:p>
    <w:p>
      <w:pPr>
        <w:spacing w:line="560" w:lineRule="exact"/>
        <w:ind w:firstLineChars="200" w:firstLine="640"/>
        <w:rPr>
          <w:rFonts w:eastAsia="方正仿宋_GBK" w:hint="eastAsia"/>
          <w:sz w:val="32"/>
          <w:szCs w:val="32"/>
        </w:rPr>
      </w:pPr>
      <w:r>
        <w:rPr>
          <w:rFonts w:eastAsia="方正仿宋_GBK" w:hint="eastAsia"/>
          <w:sz w:val="32"/>
          <w:szCs w:val="32"/>
        </w:rPr>
        <w:t>2026年</w:t>
      </w:r>
      <w:r>
        <w:rPr>
          <w:rFonts w:eastAsia="方正仿宋_GBK"/>
          <w:sz w:val="32"/>
          <w:szCs w:val="32"/>
        </w:rPr>
        <w:t>中山海关后勤管理中心</w:t>
      </w:r>
      <w:r>
        <w:rPr>
          <w:rFonts w:eastAsia="方正仿宋_GBK" w:hint="eastAsia"/>
          <w:sz w:val="32"/>
          <w:szCs w:val="32"/>
        </w:rPr>
        <w:t>无委托业务费财政拨款预算。</w:t>
      </w:r>
    </w:p>
    <w:p>
      <w:pPr>
        <w:spacing w:line="560" w:lineRule="exact"/>
        <w:ind w:firstLineChars="200" w:firstLine="640"/>
        <w:jc w:val="left"/>
        <w:rPr>
          <w:rFonts w:eastAsia="方正楷体_GBK" w:cs="方正楷体_GBK"/>
          <w:b/>
          <w:bCs/>
          <w:sz w:val="32"/>
          <w:szCs w:val="32"/>
          <w:lang w:val="zh-CN"/>
        </w:rPr>
      </w:pPr>
      <w:r>
        <w:rPr>
          <w:rFonts w:eastAsia="方正楷体_GBK" w:cs="方正楷体_GBK" w:hint="eastAsia"/>
          <w:b/>
          <w:bCs/>
          <w:sz w:val="32"/>
          <w:szCs w:val="32"/>
          <w:lang w:val="zh-CN"/>
        </w:rPr>
        <w:t>（三）国有资产占有使用情况。</w:t>
      </w:r>
    </w:p>
    <w:p>
      <w:pPr>
        <w:spacing w:line="560" w:lineRule="exact"/>
        <w:ind w:firstLineChars="200" w:firstLine="640"/>
        <w:rPr>
          <w:rFonts w:eastAsia="方正仿宋_GBK"/>
          <w:sz w:val="32"/>
          <w:szCs w:val="32"/>
        </w:rPr>
      </w:pPr>
      <w:r>
        <w:rPr>
          <w:rFonts w:eastAsia="方正仿宋_GBK" w:hint="eastAsia"/>
          <w:color w:val="000000"/>
          <w:sz w:val="32"/>
          <w:szCs w:val="32"/>
        </w:rPr>
        <w:t>截至2025年7月31日，</w:t>
      </w:r>
      <w:r>
        <w:rPr>
          <w:rFonts w:eastAsia="方正仿宋_GBK"/>
          <w:sz w:val="32"/>
          <w:szCs w:val="32"/>
        </w:rPr>
        <w:t>中山海关后勤管理中心</w:t>
      </w:r>
      <w:r>
        <w:rPr>
          <w:rFonts w:eastAsia="方正仿宋_GBK" w:hint="eastAsia"/>
          <w:color w:val="000000"/>
          <w:sz w:val="32"/>
          <w:szCs w:val="32"/>
        </w:rPr>
        <w:t>共有车辆2辆。其中，其他用车2辆，其他用车主要是事业单位载客载货车辆。单位价值50万元以上的通用设备0台（套），单位价值100万元以上的专用设备0台（套）。</w:t>
      </w:r>
    </w:p>
    <w:p>
      <w:pPr>
        <w:spacing w:line="560" w:lineRule="exact"/>
        <w:ind w:firstLineChars="200" w:firstLine="640"/>
        <w:jc w:val="left"/>
        <w:rPr>
          <w:rFonts w:eastAsia="方正楷体_GBK" w:cs="方正楷体_GBK"/>
          <w:b/>
          <w:bCs/>
          <w:sz w:val="32"/>
          <w:szCs w:val="32"/>
          <w:lang w:val="zh-CN"/>
        </w:rPr>
      </w:pPr>
      <w:r>
        <w:rPr>
          <w:rFonts w:eastAsia="方正楷体_GBK" w:cs="方正楷体_GBK" w:hint="eastAsia"/>
          <w:b/>
          <w:bCs/>
          <w:sz w:val="32"/>
          <w:szCs w:val="32"/>
          <w:lang w:val="zh-CN"/>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2026年中山</w:t>
      </w:r>
      <w:r>
        <w:rPr>
          <w:rFonts w:eastAsia="方正仿宋_GBK"/>
          <w:sz w:val="32"/>
          <w:szCs w:val="32"/>
        </w:rPr>
        <w:t>海关</w:t>
      </w:r>
      <w:r>
        <w:rPr>
          <w:rFonts w:eastAsia="方正仿宋_GBK" w:hint="eastAsia"/>
          <w:sz w:val="32"/>
          <w:szCs w:val="32"/>
        </w:rPr>
        <w:t>后勤管理中心无一般公共预算拨款和政府性基金预算项目。</w:t>
      </w:r>
    </w:p>
    <w:p>
      <w:pPr>
        <w:adjustRightInd w:val="0"/>
        <w:snapToGrid w:val="0"/>
        <w:spacing w:line="560" w:lineRule="exact"/>
        <w:ind w:firstLineChars="200" w:firstLine="720"/>
        <w:rPr>
          <w:sz w:val="36"/>
          <w:szCs w:val="30"/>
        </w:rPr>
      </w:pPr>
    </w:p>
    <w:p>
      <w:pP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r>
        <w:rPr>
          <w:b/>
          <w:sz w:val="84"/>
          <w:szCs w:val="84"/>
        </w:rPr>
        <w:t xml:space="preserve">  </w:t>
      </w:r>
    </w:p>
    <w:p>
      <w:pPr>
        <w:jc w:val="center"/>
        <w:rPr>
          <w:rFonts w:hint="eastAsia"/>
          <w:b/>
          <w:sz w:val="84"/>
          <w:szCs w:val="84"/>
        </w:rPr>
      </w:pPr>
      <w:r>
        <w:rPr>
          <w:rFonts w:hint="eastAsia"/>
          <w:b/>
          <w:sz w:val="84"/>
          <w:szCs w:val="84"/>
        </w:rPr>
        <w:t>名词解释</w:t>
      </w:r>
    </w:p>
    <w:p>
      <w:pPr>
        <w:jc w:val="center"/>
        <w:rPr>
          <w:b/>
          <w:sz w:val="84"/>
          <w:szCs w:val="84"/>
        </w:rPr>
      </w:pP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四、使用非财政拨款结余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五、上年结转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六、一般公共服务支出（类）海关事务（款）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机关服务（项）</w:t>
      </w:r>
      <w:r>
        <w:rPr>
          <w:rFonts w:eastAsia="方正仿宋_GBK" w:hint="eastAsia"/>
          <w:sz w:val="32"/>
          <w:szCs w:val="32"/>
        </w:rPr>
        <w:t>：反映海关系统为行政单位（包括实行公务员管理的事业单位）提供后勤服务的各类后勤服务中心等附属事业单位的支出。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七、社会保障和就业支出（类）行政事业单位养老支出（款）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（一）事业单位离退休（项）</w:t>
      </w:r>
      <w:r>
        <w:rPr>
          <w:rFonts w:eastAsia="方正仿宋_GBK" w:hint="eastAsia"/>
          <w:sz w:val="32"/>
          <w:szCs w:val="32"/>
        </w:rPr>
        <w:t>：反映海关系统事业单位开支的离退休经费。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二</w:t>
      </w:r>
      <w:r>
        <w:rPr>
          <w:rFonts w:eastAsia="方正仿宋_GBK" w:hint="eastAsia"/>
          <w:b/>
          <w:bCs/>
          <w:sz w:val="32"/>
          <w:szCs w:val="32"/>
        </w:rPr>
        <w:t>）机关事业单位基本养老保险缴费支出（项）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三</w:t>
      </w:r>
      <w:r>
        <w:rPr>
          <w:rFonts w:eastAsia="方正仿宋_GBK" w:hint="eastAsia"/>
          <w:b/>
          <w:bCs/>
          <w:sz w:val="32"/>
          <w:szCs w:val="32"/>
        </w:rPr>
        <w:t>）机关事业单位职业年金缴费支出（项）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八、住房保障支出（类）住房改革支出（款）</w:t>
      </w:r>
      <w:r>
        <w:rPr>
          <w:rFonts w:eastAsia="方正仿宋_GBK" w:hint="eastAsia"/>
          <w:sz w:val="32"/>
          <w:szCs w:val="32"/>
        </w:rPr>
        <w:t>：反映海关系统按照国家政策规定为职工发放的住房公积金、提租补贴和购房补贴等支出。住房改革支出包括</w:t>
      </w:r>
      <w:r>
        <w:rPr>
          <w:rFonts w:eastAsia="方正仿宋_GBK"/>
          <w:sz w:val="32"/>
          <w:szCs w:val="32"/>
        </w:rPr>
        <w:t>两</w:t>
      </w:r>
      <w:r>
        <w:rPr>
          <w:rFonts w:eastAsia="方正仿宋_GBK" w:hint="eastAsia"/>
          <w:sz w:val="32"/>
          <w:szCs w:val="32"/>
        </w:rPr>
        <w:t>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（二）购房补贴（项）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w:t>
      </w:r>
      <w:r>
        <w:rPr>
          <w:rFonts w:ascii="永中宋体" w:eastAsia="永中宋体" w:hint="eastAsia"/>
          <w:sz w:val="32"/>
          <w:szCs w:val="32"/>
        </w:rPr>
        <w:t>〈</w:t>
      </w:r>
      <w:r>
        <w:rPr>
          <w:rFonts w:eastAsia="方正仿宋_GBK" w:hint="eastAsia"/>
          <w:sz w:val="32"/>
          <w:szCs w:val="32"/>
        </w:rPr>
        <w:t>关于完善在京中央和国家机关住房制度的若干意见</w:t>
      </w:r>
      <w:r>
        <w:rPr>
          <w:rFonts w:ascii="永中宋体" w:eastAsia="永中宋体" w:hint="eastAsia"/>
          <w:sz w:val="32"/>
          <w:szCs w:val="32"/>
        </w:rPr>
        <w:t>〉</w:t>
      </w:r>
      <w:r>
        <w:rPr>
          <w:rFonts w:eastAsia="方正仿宋_GBK" w:hint="eastAsia"/>
          <w:sz w:val="32"/>
          <w:szCs w:val="32"/>
        </w:rPr>
        <w:t>的通知》（厅字〔2005〕8号）规定的标准执行，京外中央单位按照所在地人民政府住房分配货币化改革的政策规定和标准执行。</w:t>
      </w:r>
    </w:p>
    <w:p>
      <w:pPr>
        <w:spacing w:line="560" w:lineRule="exact"/>
        <w:ind w:firstLineChars="200" w:firstLine="640"/>
        <w:rPr>
          <w:rFonts w:eastAsia="方正仿宋_GBK"/>
          <w:sz w:val="32"/>
          <w:szCs w:val="32"/>
        </w:rPr>
      </w:pPr>
      <w:r>
        <w:rPr>
          <w:rFonts w:eastAsia="方正仿宋_GBK" w:hint="eastAsia"/>
          <w:b/>
          <w:bCs/>
          <w:sz w:val="32"/>
          <w:szCs w:val="32"/>
        </w:rPr>
        <w:t>九、卫生健康支出（类）行政事业单位医疗（款）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b/>
          <w:sz w:val="32"/>
          <w:szCs w:val="32"/>
        </w:rPr>
      </w:pPr>
      <w:r>
        <w:rPr>
          <w:rFonts w:eastAsia="方正仿宋_GBK" w:hint="eastAsia"/>
          <w:b/>
          <w:bCs/>
          <w:sz w:val="32"/>
          <w:szCs w:val="32"/>
        </w:rPr>
        <w:t>十、“三公”经费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sectPr>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仿宋_GBK">
    <w:altName w:val="Arial Unicode MS"/>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楷体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永中宋体">
    <w:altName w:val="华文宋体"/>
    <w:panose1 w:val="00000000000000000000"/>
    <w:charset w:val="86"/>
    <w:family w:val="auto"/>
    <w:pitch w:val="variable"/>
    <w:sig w:usb0="00000803" w:usb1="080E0000" w:usb2="00000000"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0000000000000000000"/>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7" distR="114297" simplePos="0" relativeHeight="25" behindDoc="0" locked="0" layoutInCell="1" hidden="0" allowOverlap="1">
              <wp:simplePos x="0" y="0"/>
              <wp:positionH relativeFrom="margin">
                <wp:align>center</wp:align>
              </wp:positionH>
              <wp:positionV relativeFrom="paragraph">
                <wp:posOffset>0</wp:posOffset>
              </wp:positionV>
              <wp:extent cx="57149" cy="131557"/>
              <wp:effectExtent l="0" t="0" r="0" b="0"/>
              <wp:wrapNone/>
              <wp:docPr id="1" name="文本框 1 3 3"/>
              <wp:cNvGraphicFramePr>
                <a:graphicFrameLocks noChangeAspect="0"/>
              </wp:cNvGraphicFramePr>
              <a:graphic>
                <a:graphicData uri="http://schemas.microsoft.com/office/word/2010/wordprocessingShape">
                  <wps:wsp>
                    <wps:cNvSpPr/>
                    <wps:spPr>
                      <a:xfrm rot="0">
                        <a:off x="0" y="0"/>
                        <a:ext cx="57149" cy="131557"/>
                      </a:xfrm>
                      <a:prstGeom prst="rect"/>
                      <a:noFill/>
                      <a:ln w="9525" cmpd="sng" cap="flat">
                        <a:noFill/>
                        <a:prstDash val="solid"/>
                        <a:miter/>
                      </a:ln>
                    </wps:spPr>
                    <wps:txbx id="2">
                      <w:txbxContent>
                        <w:p>
                          <w:pPr>
                            <w:pStyle w:val="18"/>
                            <w:tabs>
                              <w:tab w:val="center" w:pos="4153"/>
                              <w:tab w:val="right" w:pos="8307"/>
                            </w:tabs>
                          </w:pPr>
                          <w:r>
                            <w:fldChar w:fldCharType="begin"/>
                          </w:r>
                          <w:r>
                            <w:instrText xml:space="preserve"> PAGE  \* MERGEFORMAT </w:instrText>
                          </w:r>
                          <w:r>
                            <w:fldChar w:fldCharType="separate"/>
                          </w:r>
                          <w:r>
                            <w:t>13</w:t>
                          </w:r>
                          <w:r>
                            <w:fldChar w:fldCharType="end"/>
                          </w:r>
                        </w:p>
                      </w:txbxContent>
                    </wps:txbx>
                    <wps:bodyPr vert="horz" wrap="none" lIns="0" tIns="0" rIns="0" bIns="0" anchor="t" anchorCtr="0" upright="1">
                      <a:spAutoFit/>
                    </wps:bodyPr>
                  </wps:wsp>
                </a:graphicData>
              </a:graphic>
            </wp:anchor>
          </w:drawing>
        </mc:Choice>
        <mc:Fallback>
          <w:pict>
            <v:shape type="#_x0000_t202" id="文本框 1 3 3 3" o:spid="_x0000_s3" filled="f" stroked="f" style="position:absolute;margin-left:0.0pt;margin-top:0.0pt;width:4.4999313pt;height:10.358851pt;z-index:25;mso-position-horizontal:center;mso-position-horizontal-relative:margin;mso-position-vertical:absolute;mso-wrap-distance-left:8.99983pt;mso-wrap-distance-right:8.99983pt;mso-wrap-style:none;">
              <v:stroke color="#000000"/>
              <v:textbox id="853"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24"/>
      </w:rPr>
      <w:fldChar w:fldCharType="begin"/>
    </w:r>
    <w:r>
      <w:rPr>
        <w:rStyle w:val="24"/>
      </w:rPr>
      <w:instrText>Page</w:instrText>
    </w:r>
    <w:r>
      <w:rPr>
        <w:rStyle w:val="24"/>
      </w:rPr>
      <w:fldChar w:fldCharType="separate"/>
    </w:r>
    <w:r>
      <w:rPr>
        <w:rStyle w:val="24"/>
      </w:rPr>
      <w:t>1</w:t>
    </w:r>
    <w:r>
      <w:rPr>
        <w:rStyle w:val="24"/>
      </w:rPr>
      <w:fldChar w:fldCharType="end"/>
    </w:r>
  </w:p>
  <w:p>
    <w:pPr>
      <w:pStyle w:val="18"/>
      <w:tabs>
        <w:tab w:val="center" w:pos="4153"/>
        <w:tab w:val="right" w:pos="8307"/>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mc:AlternateContent>
        <mc:Choice Requires="wps">
          <w:drawing>
            <wp:anchor distT="0" distB="0" distL="114297" distR="114297" simplePos="0" relativeHeight="24" behindDoc="0" locked="0" layoutInCell="1" hidden="0" allowOverlap="1">
              <wp:simplePos x="0" y="0"/>
              <wp:positionH relativeFrom="margin">
                <wp:align>center</wp:align>
              </wp:positionH>
              <wp:positionV relativeFrom="paragraph">
                <wp:posOffset>-2501265</wp:posOffset>
              </wp:positionV>
              <wp:extent cx="69850" cy="160655"/>
              <wp:effectExtent l="0" t="0" r="0" b="0"/>
              <wp:wrapNone/>
              <wp:docPr id="7" name="文本框 3 6 9"/>
              <wp:cNvGraphicFramePr>
                <a:graphicFrameLocks noChangeAspect="0"/>
              </wp:cNvGraphicFramePr>
              <a:graphic>
                <a:graphicData uri="http://schemas.microsoft.com/office/word/2010/wordprocessingShape">
                  <wps:wsp>
                    <wps:cNvSpPr/>
                    <wps:spPr>
                      <a:xfrm rot="0">
                        <a:off x="0" y="0"/>
                        <a:ext cx="69850" cy="160655"/>
                      </a:xfrm>
                      <a:prstGeom prst="rect"/>
                      <a:noFill/>
                      <a:ln w="9525" cmpd="sng" cap="flat">
                        <a:noFill/>
                        <a:prstDash val="solid"/>
                        <a:miter/>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4</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3 6 9 9" o:spid="_x0000_s9" filled="f" stroked="f" style="position:absolute;margin-left:0.0pt;margin-top:-196.95pt;width:5.5pt;height:12.650003pt;z-index:24;mso-position-horizontal:center;mso-position-horizontal-relative:margin;mso-position-vertical:absolute;mso-wrap-distance-left:8.99983pt;mso-wrap-distance-right:8.99983pt;mso-wrap-style:none;">
              <v:stroke color="#000000"/>
              <v:textbox id="854"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4</w:t>
                    </w:r>
                    <w:r>
                      <w:rPr>
                        <w:sz w:val="22"/>
                        <w:szCs w:val="36"/>
                      </w:rPr>
                      <w:fldChar w:fldCharType="end"/>
                    </w:r>
                  </w:p>
                </w:txbxContent>
              </v:textbox>
            </v:shape>
          </w:pict>
        </mc:Fallback>
      </mc:AlternateContent>
    </w:r>
    <w:r>
      <w:rPr>
        <w:rStyle w:val="24"/>
      </w:rPr>
      <w:fldChar w:fldCharType="begin"/>
    </w:r>
    <w:r>
      <w:rPr>
        <w:rStyle w:val="24"/>
      </w:rPr>
      <w:instrText>Page</w:instrText>
    </w:r>
    <w:r>
      <w:rPr>
        <w:rStyle w:val="24"/>
      </w:rPr>
      <w:fldChar w:fldCharType="separate"/>
    </w:r>
    <w:r>
      <w:rPr>
        <w:rStyle w:val="24"/>
      </w:rPr>
      <w:t>1</w:t>
    </w:r>
    <w:r>
      <w:rPr>
        <w:rStyle w:val="24"/>
      </w:rPr>
      <w:fldChar w:fldCharType="end"/>
    </w:r>
  </w:p>
  <w:p>
    <w:pPr>
      <w:pStyle w:val="18"/>
      <w:tabs>
        <w:tab w:val="center" w:pos="4153"/>
        <w:tab w:val="right" w:pos="8307"/>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tabs>
        <w:tab w:val="center" w:pos="4153"/>
        <w:tab w:val="right" w:pos="8307"/>
      </w:tabs>
    </w:pPr>
    <w:r>
      <mc:AlternateContent>
        <mc:Choice Requires="wps">
          <w:drawing>
            <wp:anchor distT="0" distB="0" distL="114297" distR="114297" simplePos="0" relativeHeight="26" behindDoc="0" locked="0" layoutInCell="1" hidden="0" allowOverlap="1">
              <wp:simplePos x="0" y="0"/>
              <wp:positionH relativeFrom="margin">
                <wp:align>center</wp:align>
              </wp:positionH>
              <wp:positionV relativeFrom="paragraph">
                <wp:posOffset>-121284</wp:posOffset>
              </wp:positionV>
              <wp:extent cx="139699" cy="160794"/>
              <wp:effectExtent l="0" t="0" r="0" b="0"/>
              <wp:wrapNone/>
              <wp:docPr id="10" name="文本框 3 12"/>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miter/>
                      </a:ln>
                    </wps:spPr>
                    <wps:txbx id="11">
                      <w:txbxContent>
                        <w:p>
                          <w:pPr>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13</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3 12 12" o:spid="_x0000_s12" filled="f" stroked="f" style="position:absolute;margin-left:0.0pt;margin-top:-9.549994pt;width:10.999985pt;height:12.661001pt;z-index:26;mso-position-horizontal:center;mso-position-horizontal-relative:margin;mso-position-vertical:absolute;mso-wrap-distance-left:8.99983pt;mso-wrap-distance-right:8.99983pt;mso-wrap-style:none;">
              <v:stroke color="#000000"/>
              <v:textbox id="855" inset="0mm,0mm,0mm,0mm" o:insetmode="custom" style="layout-flow:horizontal;v-text-anchor:top;mso-fit-shape-to-text:t;">
                <w:txbxContent>
                  <w:p>
                    <w:pPr>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13</w:t>
                    </w:r>
                    <w:r>
                      <w:rPr>
                        <w:sz w:val="22"/>
                        <w:szCs w:val="36"/>
                      </w:rPr>
                      <w:fldChar w:fldCharType="end"/>
                    </w:r>
                  </w:p>
                </w:txbxContent>
              </v:textbox>
            </v:shape>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7" distR="114297" simplePos="0" relativeHeight="23"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13" name="文本框 2 9 15"/>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14">
                      <w:txbxContent>
                        <w:p>
                          <w:pPr>
                            <w:pStyle w:val="18"/>
                            <w:tabs>
                              <w:tab w:val="center" w:pos="4153"/>
                              <w:tab w:val="right" w:pos="8307"/>
                            </w:tabs>
                          </w:pPr>
                          <w:r>
                            <w:fldChar w:fldCharType="begin"/>
                          </w:r>
                          <w:r>
                            <w:instrText xml:space="preserve"> PAGE  \* MERGEFORMAT </w:instrText>
                          </w:r>
                          <w:r>
                            <w:fldChar w:fldCharType="separate"/>
                          </w:r>
                          <w:r>
                            <w:t>24</w:t>
                          </w:r>
                          <w:r>
                            <w:fldChar w:fldCharType="end"/>
                          </w:r>
                        </w:p>
                      </w:txbxContent>
                    </wps:txbx>
                    <wps:bodyPr vert="horz" wrap="none" lIns="0" tIns="0" rIns="0" bIns="0" anchor="t" anchorCtr="0" upright="1">
                      <a:spAutoFit/>
                    </wps:bodyPr>
                  </wps:wsp>
                </a:graphicData>
              </a:graphic>
            </wp:anchor>
          </w:drawing>
        </mc:Choice>
        <mc:Fallback>
          <w:pict>
            <v:shape type="#_x0000_t202" id="文本框 2 9 15 15" o:spid="_x0000_s15" filled="f" stroked="f" style="position:absolute;margin-left:0.0pt;margin-top:0.0pt;width:9.0pt;height:10.35pt;z-index:23;mso-position-horizontal:center;mso-position-horizontal-relative:margin;mso-position-vertical:absolute;mso-wrap-distance-left:8.99983pt;mso-wrap-distance-right:8.99983pt;mso-wrap-style:none;">
              <v:stroke color="#000000"/>
              <v:textbox id="856"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24</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dhODJhYmVjYmJkY2E4OGQ1Y2Q5MWFhNjk3NzZj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paragraph" w:styleId="4">
    <w:name w:val="heading 4"/>
    <w:basedOn w:val="0"/>
    <w:next w:val="0"/>
    <w:pPr>
      <w:keepNext/>
      <w:keepLines/>
      <w:widowControl w:val="0"/>
      <w:spacing w:before="280" w:after="290" w:line="377" w:lineRule="auto"/>
      <w:outlineLvl w:val="3"/>
    </w:pPr>
    <w:rPr>
      <w:rFonts w:ascii="Cambria" w:hAnsi="Cambria"/>
      <w:b/>
      <w:bCs/>
      <w:sz w:val="28"/>
      <w:szCs w:val="28"/>
    </w:rPr>
  </w:style>
  <w:style w:type="paragraph" w:styleId="5">
    <w:name w:val="heading 5"/>
    <w:basedOn w:val="0"/>
    <w:next w:val="0"/>
    <w:pPr>
      <w:keepNext/>
      <w:keepLines/>
      <w:widowControl w:val="0"/>
      <w:spacing w:before="280" w:after="290" w:line="377" w:lineRule="auto"/>
      <w:outlineLvl w:val="4"/>
    </w:pPr>
    <w:rPr>
      <w:b/>
      <w:bCs/>
      <w:sz w:val="28"/>
      <w:szCs w:val="28"/>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5.jpeg"/><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image" Target="media/17.png"/><Relationship Id="rId9" Type="http://schemas.openxmlformats.org/officeDocument/2006/relationships/image" Target="media/20.png"/><Relationship Id="rId10" Type="http://schemas.openxmlformats.org/officeDocument/2006/relationships/image" Target="media/23.png"/><Relationship Id="rId11" Type="http://schemas.openxmlformats.org/officeDocument/2006/relationships/image" Target="media/26.png"/><Relationship Id="rId12" Type="http://schemas.openxmlformats.org/officeDocument/2006/relationships/styles" Target="styles.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1325</TotalTime>
  <Application>Yozo_Office</Application>
  <Pages>26</Pages>
  <Words>5816</Words>
  <Characters>7259</Characters>
  <Lines>971</Lines>
  <Paragraphs>535</Paragraphs>
  <CharactersWithSpaces>7783</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吴劲松</cp:lastModifiedBy>
  <cp:revision>14</cp:revision>
  <cp:lastPrinted>2025-04-15T08:12:00Z</cp:lastPrinted>
  <dcterms:created xsi:type="dcterms:W3CDTF">2025-04-16T01:03:00Z</dcterms:created>
  <dcterms:modified xsi:type="dcterms:W3CDTF">2026-04-27T10:20:44Z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2052-12.1.0.16412</vt:lpwstr>
  </property>
</Properties>
</file>