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widowControl/>
        <w:spacing w:line="560" w:lineRule="exact"/>
        <w:jc w:val="left"/>
        <w:rPr>
          <w:rFonts w:ascii="方正黑体_GBK" w:eastAsia="方正黑体_GBK" w:cs="宋体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宋体" w:hint="eastAsia"/>
          <w:color w:val="000000"/>
          <w:kern w:val="0"/>
          <w:sz w:val="32"/>
          <w:szCs w:val="32"/>
        </w:rPr>
        <w:t>附件</w:t>
      </w:r>
    </w:p>
    <w:p>
      <w:pPr>
        <w:widowControl/>
        <w:spacing w:line="560" w:lineRule="exact"/>
        <w:jc w:val="center"/>
        <w:rPr>
          <w:rFonts w:ascii="方正黑体_GBK" w:eastAsia="方正黑体_GBK" w:cs="宋体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ascii="方正小标宋_GBK" w:eastAsia="方正小标宋_GBK" w:cs="宋体"/>
          <w:color w:val="000000"/>
          <w:kern w:val="0"/>
          <w:sz w:val="44"/>
          <w:szCs w:val="44"/>
        </w:rPr>
      </w:pPr>
      <w:r>
        <w:rPr>
          <w:rFonts w:ascii="方正小标宋_GBK" w:eastAsia="方正小标宋_GBK" w:cs="宋体" w:hint="eastAsia"/>
          <w:color w:val="000000"/>
          <w:kern w:val="0"/>
          <w:sz w:val="44"/>
          <w:szCs w:val="44"/>
        </w:rPr>
        <w:t>拱北海关</w:t>
      </w:r>
      <w:r>
        <w:rPr>
          <w:rFonts w:ascii="方正小标宋_GBK" w:eastAsia="方正小标宋_GBK" w:cs="宋体"/>
          <w:color w:val="000000"/>
          <w:kern w:val="0"/>
          <w:sz w:val="44"/>
          <w:szCs w:val="44"/>
        </w:rPr>
        <w:t>稽</w:t>
      </w:r>
      <w:r>
        <w:rPr>
          <w:rFonts w:ascii="方正小标宋_GBK" w:eastAsia="方正小标宋_GBK" w:cs="宋体" w:hint="eastAsia"/>
          <w:color w:val="000000"/>
          <w:kern w:val="0"/>
          <w:sz w:val="44"/>
          <w:szCs w:val="44"/>
        </w:rPr>
        <w:t>核</w:t>
      </w:r>
      <w:r>
        <w:rPr>
          <w:rFonts w:ascii="方正小标宋_GBK" w:eastAsia="方正小标宋_GBK" w:cs="宋体"/>
          <w:color w:val="000000"/>
          <w:kern w:val="0"/>
          <w:sz w:val="44"/>
          <w:szCs w:val="44"/>
        </w:rPr>
        <w:t>查引入社会中介机构</w:t>
      </w:r>
    </w:p>
    <w:p>
      <w:pPr>
        <w:widowControl/>
        <w:spacing w:line="560" w:lineRule="exact"/>
        <w:jc w:val="center"/>
        <w:rPr>
          <w:rFonts w:ascii="方正小标宋_GBK" w:eastAsia="方正小标宋_GBK" w:cs="宋体"/>
          <w:color w:val="000000"/>
          <w:kern w:val="0"/>
          <w:sz w:val="44"/>
          <w:szCs w:val="44"/>
        </w:rPr>
      </w:pPr>
      <w:r>
        <w:rPr>
          <w:rFonts w:ascii="方正小标宋_GBK" w:eastAsia="方正小标宋_GBK" w:cs="宋体" w:hint="eastAsia"/>
          <w:color w:val="000000"/>
          <w:kern w:val="0"/>
          <w:sz w:val="44"/>
          <w:szCs w:val="44"/>
        </w:rPr>
        <w:t>备选库名单</w:t>
      </w:r>
    </w:p>
    <w:p>
      <w:pPr>
        <w:widowControl/>
        <w:spacing w:line="560" w:lineRule="exact"/>
        <w:rPr>
          <w:rFonts w:ascii="方正黑体_GBK" w:eastAsia="方正黑体_GBK" w:cs="宋体"/>
          <w:bCs/>
          <w:color w:val="000000"/>
          <w:kern w:val="0"/>
          <w:sz w:val="32"/>
          <w:szCs w:val="32"/>
        </w:rPr>
      </w:pPr>
    </w:p>
    <w:tbl>
      <w:tblPr>
        <w:jc w:val="left"/>
        <w:tblInd w:w="93" w:type="dxa"/>
        <w:tblW w:w="90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7940"/>
      </w:tblGrid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方正楷体_GBK" w:eastAsia="方正楷体_GBK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方正楷体_GBK" w:eastAsia="方正楷体_GBK" w:cs="宋体" w:hint="eastAsia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楷体_GBK" w:eastAsia="方正楷体_GBK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方正楷体_GBK" w:eastAsia="方正楷体_GBK" w:cs="宋体" w:hint="eastAsia"/>
                <w:b/>
                <w:bCs/>
                <w:color w:val="000000"/>
                <w:kern w:val="0"/>
                <w:sz w:val="32"/>
                <w:szCs w:val="32"/>
              </w:rPr>
              <w:t>社会中介机构名称（以下排名不分先后）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大华会计师事务所（特殊普通合伙）珠海分所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中兴财光华会计师事务所（特殊普通合伙）广东分所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珠海华旗会计师事务所有限公司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珠海市华诚会计师事务所有限公司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珠海华天会计师事务所（普通合伙）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广东立信会计师事务所（普通合伙）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珠海德源会计师事务所（普通合伙）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珠海市斗门丹诚会计师事务所有限公司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珠海亚太鹏盛税务师事务所有限公司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珠海开元会计师事务所（普通合伙）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珠海国睿信达会计师事务所（普通合伙）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珠海友城会计师事务所（普通合伙）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珠海国睿税务师事务所（特殊普通合伙）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珠海正和通泰会计师事务所（普通合伙）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珠海德鸿会计师事务所有限公司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16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珠海业勤会计师事务所（普通合伙）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17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立信会计师事务所（特殊普通合伙）珠海分所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18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中审众环会计师事务所（特殊普通合伙）珠海分所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</w:rPr>
              <w:t>19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珠海光华时代会计师事务所（普通合伙）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20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珠海诚睿会计师事务所（普通合伙）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21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珠海安德信会计师事务所（普通合伙）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22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北京天下一信会计师事务所有限公司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23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国宏信价格评估集团有限公司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24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珠海光睿会计师事务所（普通合伙）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25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珠海天睿会计师事务所合伙企业（普通合伙）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26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致同会计师事务所（特殊普通合伙）珠海分所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27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珠海晋谦会计师事务所（普通合伙）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28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珠海正和通泰税务师事务所（普通合伙）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29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天衡会计师事务所（特殊普通合伙）珠海分所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30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珠海正德税务师事务所有限公司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31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深圳市华南价格鉴证财产评估有限公司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32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鹏盛会计师事务所（特殊普通合伙）珠海分所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33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利安达会计师事务所（特殊普通合伙）珠海分所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34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容诚会计师事务所（特殊普通合伙）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35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鹏盛会计师事务所（特殊普通合伙）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36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众环海华（珠海）税务师事务所有限公司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37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中赋（珠海）税务师事务所有限公司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38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中山市成诺会计师事务所有限公司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39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中山香山会计师事务所有限公司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40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广东维德会计师事务所（普通合伙）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41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中山市百富勤会计师事务所（普通合伙）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42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中山市中正联合会计师事务所有限公司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43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中山天盈会计师事务所有限公司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44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中山同力会计师事务所有限公司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45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永拓会计师事务所（特殊普通合伙）广东分所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4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中山市李博士联合会计师事务所（普通合伙）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47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中山市执信会计师事务所（普通合伙）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48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中山金信税务师事务所有限公司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49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广东中科税务师事务所有限公司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50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中山市汇华会计师事务所（普通合伙）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51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中山市晋华会计师事务所（普通合伙）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52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 xml:space="preserve">中山市中翰中正税务师事务所有限公司               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53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中山市中元会计师事务所（普通合伙）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54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中山市荣泰联合会计师事务所（普通合伙）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55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中国检验认证集团广东有限公司中山分公司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56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广东正中国穗税务师事务所有限公司中山分所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57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中山海关技术中心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58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中山恒睿德会计师事务所（普通合伙）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59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中山壹税税务师事务所（特殊普通合伙）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60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中山市众信会计师事务所（普通合伙）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61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中山市睿和会计师事务所（普通合伙）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62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广东致合会计师事务所有限公司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63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广东中仁永智会计师事务所（普通合伙）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64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中山成诺税务师事务所有限公司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65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中山市金晟会计师事务所（普通合伙）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66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中山市信鸿会计师事务所（普通合伙）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67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中山市睿审会计师事务所（普通合伙）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68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中山市智者同行会计师事务所（普通合伙）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69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中山市汇智税务师事务所（普通合伙）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70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中山市金诚税务师事务所（普通合伙）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71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中山天盈税务师事务所有限公司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72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 xml:space="preserve">中山壹税会计师事务所（普通合伙）  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73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中山香山税务师事务所有限公司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74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中山市京联众合会计师事务所（普通合伙）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75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京洲联信维德（中山）税务师事务所有限公司</w:t>
            </w:r>
          </w:p>
        </w:tc>
      </w:tr>
      <w:tr>
        <w:trPr>
          <w:trHeight w:val="4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76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kern w:val="0"/>
                <w:sz w:val="32"/>
                <w:szCs w:val="32"/>
              </w:rPr>
              <w:t>中山市君为税务师事务所有限公司</w:t>
            </w:r>
          </w:p>
        </w:tc>
      </w:tr>
    </w:tbl>
    <w:p>
      <w:pPr>
        <w:pStyle w:val="19"/>
        <w:rPr>
          <w:rFonts w:ascii="方正仿宋_GBK" w:eastAsia="方正仿宋_GBK"/>
          <w:sz w:val="32"/>
          <w:szCs w:val="32"/>
        </w:rPr>
      </w:pPr>
    </w:p>
    <w:sectPr>
      <w:footerReference w:type="default" r:id="rId2"/>
      <w:footerReference w:type="even" r:id="rId3"/>
      <w:pgSz w:w="11906" w:h="16838"/>
      <w:pgMar w:top="1134" w:right="1797" w:bottom="1134" w:left="1797" w:header="851" w:footer="992" w:gutter="0"/>
      <w:pgNumType w:start="1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6"/>
      </w:tabs>
      <w:wordWrap w:val="0"/>
      <w:ind w:rightChars="100" w:right="210"/>
      <w:jc w:val="right"/>
      <w:rPr>
        <w:rFonts w:ascii="宋体"/>
        <w:sz w:val="28"/>
        <w:szCs w:val="28"/>
      </w:rPr>
    </w:pPr>
    <w:r>
      <w:rPr>
        <w:rFonts w:ascii="宋体" w:hint="eastAsia"/>
        <w:sz w:val="28"/>
        <w:szCs w:val="28"/>
      </w:rPr>
      <w:t>－</w:t>
    </w:r>
    <w:r>
      <w:rPr>
        <w:rFonts w:ascii="宋体" w:hint="eastAsia"/>
        <w:sz w:val="28"/>
        <w:szCs w:val="28"/>
      </w:rPr>
      <w:fldChar w:fldCharType="begin"/>
    </w:r>
    <w:r>
      <w:rPr>
        <w:rFonts w:ascii="宋体" w:hint="eastAsia"/>
        <w:sz w:val="28"/>
        <w:szCs w:val="28"/>
      </w:rPr>
      <w:instrText>Page</w:instrText>
    </w:r>
    <w:r>
      <w:rPr>
        <w:rFonts w:ascii="宋体" w:hint="eastAsia"/>
        <w:sz w:val="28"/>
        <w:szCs w:val="28"/>
      </w:rPr>
      <w:fldChar w:fldCharType="separate"/>
    </w:r>
    <w:r>
      <w:rPr>
        <w:rFonts w:ascii="宋体"/>
        <w:sz w:val="28"/>
        <w:szCs w:val="28"/>
      </w:rPr>
      <w:t>3</w:t>
    </w:r>
    <w:r>
      <w:rPr>
        <w:rFonts w:ascii="宋体" w:hint="eastAsia"/>
        <w:sz w:val="28"/>
        <w:szCs w:val="28"/>
      </w:rPr>
      <w:fldChar w:fldCharType="end"/>
    </w:r>
    <w:r>
      <w:rPr>
        <w:rFonts w:ascii="宋体" w:hint="eastAsia"/>
        <w:sz w:val="28"/>
        <w:szCs w:val="28"/>
      </w:rPr>
      <w:t>－</w:t>
    </w: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6"/>
      </w:tabs>
      <w:ind w:leftChars="100" w:left="210"/>
      <w:rPr>
        <w:rFonts w:ascii="宋体"/>
        <w:sz w:val="28"/>
        <w:szCs w:val="28"/>
      </w:rPr>
    </w:pPr>
    <w:r>
      <w:rPr>
        <w:rFonts w:ascii="宋体" w:hint="eastAsia"/>
        <w:sz w:val="28"/>
        <w:szCs w:val="28"/>
      </w:rPr>
      <w:t>－</w:t>
    </w:r>
    <w:r>
      <w:rPr>
        <w:rFonts w:ascii="宋体" w:hint="eastAsia"/>
        <w:sz w:val="28"/>
        <w:szCs w:val="28"/>
      </w:rPr>
      <w:fldChar w:fldCharType="begin"/>
    </w:r>
    <w:r>
      <w:rPr>
        <w:rFonts w:ascii="宋体" w:hint="eastAsia"/>
        <w:sz w:val="28"/>
        <w:szCs w:val="28"/>
      </w:rPr>
      <w:instrText>Page</w:instrText>
    </w:r>
    <w:r>
      <w:rPr>
        <w:rFonts w:ascii="宋体" w:hint="eastAsia"/>
        <w:sz w:val="28"/>
        <w:szCs w:val="28"/>
      </w:rPr>
      <w:fldChar w:fldCharType="separate"/>
    </w:r>
    <w:r>
      <w:rPr>
        <w:rFonts w:ascii="宋体"/>
        <w:sz w:val="28"/>
        <w:szCs w:val="28"/>
      </w:rPr>
      <w:t>4</w:t>
    </w:r>
    <w:r>
      <w:rPr>
        <w:rFonts w:ascii="宋体" w:hint="eastAsia"/>
        <w:sz w:val="28"/>
        <w:szCs w:val="28"/>
      </w:rPr>
      <w:fldChar w:fldCharType="end"/>
    </w:r>
    <w:r>
      <w:rPr>
        <w:rFonts w:ascii="宋体" w:hint="eastAsia"/>
        <w:sz w:val="28"/>
        <w:szCs w:val="28"/>
      </w:rPr>
      <w:t>－</w:t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doNotDisplayPageBoundaries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cs="Arial" w:hAnsi="Calibri"/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cs="Arial" w:hAnsi="Calibri"/>
      <w:sz w:val="18"/>
      <w:szCs w:val="18"/>
    </w:rPr>
  </w:style>
  <w:style w:type="paragraph" w:customStyle="1" w:styleId="17">
    <w:name w:val="样式 4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styleId="18">
    <w:name w:val="Balloon Text"/>
    <w:basedOn w:val="0"/>
    <w:rPr>
      <w:sz w:val="18"/>
      <w:szCs w:val="18"/>
    </w:rPr>
  </w:style>
  <w:style w:type="paragraph" w:styleId="19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</TotalTime>
  <Application>Yozo_Office</Application>
  <Pages>4</Pages>
  <Words>1401</Words>
  <Characters>1468</Characters>
  <Lines>159</Lines>
  <Paragraphs>157</Paragraphs>
  <CharactersWithSpaces>1485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4505</dc:creator>
  <cp:lastModifiedBy>黄嘉浩</cp:lastModifiedBy>
  <cp:revision>4</cp:revision>
  <dcterms:created xsi:type="dcterms:W3CDTF">2025-03-05T06:40:00Z</dcterms:created>
  <dcterms:modified xsi:type="dcterms:W3CDTF">2026-02-06T01:21:12Z</dcterms:modified>
</cp:coreProperties>
</file>