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B65" w:rsidRPr="00C565F9" w:rsidRDefault="00FB4B65" w:rsidP="00C565F9">
      <w:pPr>
        <w:widowControl/>
        <w:snapToGrid w:val="0"/>
        <w:jc w:val="center"/>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中华人民共和国海关稽查条例</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ind w:firstLine="420"/>
        <w:rPr>
          <w:rFonts w:asciiTheme="minorEastAsia" w:hAnsiTheme="minorEastAsia" w:cs="宋体"/>
          <w:kern w:val="0"/>
          <w:szCs w:val="21"/>
        </w:rPr>
      </w:pPr>
      <w:r w:rsidRPr="00C565F9">
        <w:rPr>
          <w:rFonts w:asciiTheme="minorEastAsia" w:hAnsiTheme="minorEastAsia" w:cs="宋体" w:hint="eastAsia"/>
          <w:color w:val="333333"/>
          <w:kern w:val="0"/>
          <w:szCs w:val="21"/>
        </w:rPr>
        <w:t>（</w:t>
      </w:r>
      <w:r w:rsidRPr="00C565F9">
        <w:rPr>
          <w:rFonts w:asciiTheme="minorEastAsia" w:hAnsiTheme="minorEastAsia" w:cs="宋体"/>
          <w:color w:val="333333"/>
          <w:kern w:val="0"/>
          <w:szCs w:val="21"/>
        </w:rPr>
        <w:t>1997</w:t>
      </w:r>
      <w:r w:rsidRPr="00C565F9">
        <w:rPr>
          <w:rFonts w:asciiTheme="minorEastAsia" w:hAnsiTheme="minorEastAsia" w:cs="宋体" w:hint="eastAsia"/>
          <w:color w:val="333333"/>
          <w:kern w:val="0"/>
          <w:szCs w:val="21"/>
        </w:rPr>
        <w:t>年</w:t>
      </w:r>
      <w:r w:rsidRPr="00C565F9">
        <w:rPr>
          <w:rFonts w:asciiTheme="minorEastAsia" w:hAnsiTheme="minorEastAsia" w:cs="宋体"/>
          <w:color w:val="333333"/>
          <w:kern w:val="0"/>
          <w:szCs w:val="21"/>
        </w:rPr>
        <w:t>1</w:t>
      </w:r>
      <w:r w:rsidRPr="00C565F9">
        <w:rPr>
          <w:rFonts w:asciiTheme="minorEastAsia" w:hAnsiTheme="minorEastAsia" w:cs="宋体" w:hint="eastAsia"/>
          <w:color w:val="333333"/>
          <w:kern w:val="0"/>
          <w:szCs w:val="21"/>
        </w:rPr>
        <w:t>月</w:t>
      </w:r>
      <w:r w:rsidRPr="00C565F9">
        <w:rPr>
          <w:rFonts w:asciiTheme="minorEastAsia" w:hAnsiTheme="minorEastAsia" w:cs="宋体"/>
          <w:color w:val="333333"/>
          <w:kern w:val="0"/>
          <w:szCs w:val="21"/>
        </w:rPr>
        <w:t>3</w:t>
      </w:r>
      <w:r w:rsidRPr="00C565F9">
        <w:rPr>
          <w:rFonts w:asciiTheme="minorEastAsia" w:hAnsiTheme="minorEastAsia" w:cs="宋体" w:hint="eastAsia"/>
          <w:color w:val="333333"/>
          <w:kern w:val="0"/>
          <w:szCs w:val="21"/>
        </w:rPr>
        <w:t>日中华人民共和国国务院令第</w:t>
      </w:r>
      <w:r w:rsidRPr="00C565F9">
        <w:rPr>
          <w:rFonts w:asciiTheme="minorEastAsia" w:hAnsiTheme="minorEastAsia" w:cs="宋体"/>
          <w:color w:val="333333"/>
          <w:kern w:val="0"/>
          <w:szCs w:val="21"/>
        </w:rPr>
        <w:t>209</w:t>
      </w:r>
      <w:r w:rsidRPr="00C565F9">
        <w:rPr>
          <w:rFonts w:asciiTheme="minorEastAsia" w:hAnsiTheme="minorEastAsia" w:cs="宋体" w:hint="eastAsia"/>
          <w:color w:val="333333"/>
          <w:kern w:val="0"/>
          <w:szCs w:val="21"/>
        </w:rPr>
        <w:t>号发布　根据</w:t>
      </w:r>
      <w:r w:rsidRPr="00C565F9">
        <w:rPr>
          <w:rFonts w:asciiTheme="minorEastAsia" w:hAnsiTheme="minorEastAsia" w:cs="宋体"/>
          <w:color w:val="333333"/>
          <w:kern w:val="0"/>
          <w:szCs w:val="21"/>
        </w:rPr>
        <w:t>2011</w:t>
      </w:r>
      <w:r w:rsidRPr="00C565F9">
        <w:rPr>
          <w:rFonts w:asciiTheme="minorEastAsia" w:hAnsiTheme="minorEastAsia" w:cs="宋体" w:hint="eastAsia"/>
          <w:color w:val="333333"/>
          <w:kern w:val="0"/>
          <w:szCs w:val="21"/>
        </w:rPr>
        <w:t>年</w:t>
      </w:r>
      <w:r w:rsidRPr="00C565F9">
        <w:rPr>
          <w:rFonts w:asciiTheme="minorEastAsia" w:hAnsiTheme="minorEastAsia" w:cs="宋体"/>
          <w:color w:val="333333"/>
          <w:kern w:val="0"/>
          <w:szCs w:val="21"/>
        </w:rPr>
        <w:t>1</w:t>
      </w:r>
      <w:r w:rsidRPr="00C565F9">
        <w:rPr>
          <w:rFonts w:asciiTheme="minorEastAsia" w:hAnsiTheme="minorEastAsia" w:cs="宋体" w:hint="eastAsia"/>
          <w:color w:val="333333"/>
          <w:kern w:val="0"/>
          <w:szCs w:val="21"/>
        </w:rPr>
        <w:t>月</w:t>
      </w:r>
      <w:r w:rsidRPr="00C565F9">
        <w:rPr>
          <w:rFonts w:asciiTheme="minorEastAsia" w:hAnsiTheme="minorEastAsia" w:cs="宋体"/>
          <w:color w:val="333333"/>
          <w:kern w:val="0"/>
          <w:szCs w:val="21"/>
        </w:rPr>
        <w:t>8</w:t>
      </w:r>
      <w:r w:rsidRPr="00C565F9">
        <w:rPr>
          <w:rFonts w:asciiTheme="minorEastAsia" w:hAnsiTheme="minorEastAsia" w:cs="宋体" w:hint="eastAsia"/>
          <w:color w:val="333333"/>
          <w:kern w:val="0"/>
          <w:szCs w:val="21"/>
        </w:rPr>
        <w:t>日《国务院关于废止和修改部分行政法规的决定》第一次修订　根据</w:t>
      </w:r>
      <w:r w:rsidRPr="00C565F9">
        <w:rPr>
          <w:rFonts w:asciiTheme="minorEastAsia" w:hAnsiTheme="minorEastAsia" w:cs="宋体"/>
          <w:color w:val="333333"/>
          <w:kern w:val="0"/>
          <w:szCs w:val="21"/>
        </w:rPr>
        <w:t>2016</w:t>
      </w:r>
      <w:r w:rsidRPr="00C565F9">
        <w:rPr>
          <w:rFonts w:asciiTheme="minorEastAsia" w:hAnsiTheme="minorEastAsia" w:cs="宋体" w:hint="eastAsia"/>
          <w:color w:val="333333"/>
          <w:kern w:val="0"/>
          <w:szCs w:val="21"/>
        </w:rPr>
        <w:t>年</w:t>
      </w:r>
      <w:r w:rsidRPr="00C565F9">
        <w:rPr>
          <w:rFonts w:asciiTheme="minorEastAsia" w:hAnsiTheme="minorEastAsia" w:cs="宋体"/>
          <w:color w:val="333333"/>
          <w:kern w:val="0"/>
          <w:szCs w:val="21"/>
        </w:rPr>
        <w:t>6</w:t>
      </w:r>
      <w:r w:rsidRPr="00C565F9">
        <w:rPr>
          <w:rFonts w:asciiTheme="minorEastAsia" w:hAnsiTheme="minorEastAsia" w:cs="宋体" w:hint="eastAsia"/>
          <w:color w:val="333333"/>
          <w:kern w:val="0"/>
          <w:szCs w:val="21"/>
        </w:rPr>
        <w:t>月</w:t>
      </w:r>
      <w:r w:rsidRPr="00C565F9">
        <w:rPr>
          <w:rFonts w:asciiTheme="minorEastAsia" w:hAnsiTheme="minorEastAsia" w:cs="宋体"/>
          <w:color w:val="333333"/>
          <w:kern w:val="0"/>
          <w:szCs w:val="21"/>
        </w:rPr>
        <w:t>19</w:t>
      </w:r>
      <w:r w:rsidRPr="00C565F9">
        <w:rPr>
          <w:rFonts w:asciiTheme="minorEastAsia" w:hAnsiTheme="minorEastAsia" w:cs="宋体" w:hint="eastAsia"/>
          <w:color w:val="333333"/>
          <w:kern w:val="0"/>
          <w:szCs w:val="21"/>
        </w:rPr>
        <w:t>日《国务院关于修改〈中华人民共和国海关稽查条例〉的决定》第二次修订）</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jc w:val="center"/>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第一章　总　　则</w:t>
      </w:r>
    </w:p>
    <w:p w:rsidR="00FB4B65" w:rsidRPr="00C565F9" w:rsidRDefault="00C565F9" w:rsidP="00C565F9">
      <w:pPr>
        <w:widowControl/>
        <w:snapToGrid w:val="0"/>
        <w:rPr>
          <w:rFonts w:asciiTheme="minorEastAsia" w:hAnsiTheme="minorEastAsia" w:cs="宋体"/>
          <w:kern w:val="0"/>
          <w:sz w:val="24"/>
          <w:szCs w:val="24"/>
        </w:rPr>
      </w:pPr>
      <w:r>
        <w:rPr>
          <w:rFonts w:asciiTheme="minorEastAsia" w:hAnsiTheme="minorEastAsia" w:cs="宋体" w:hint="eastAsia"/>
          <w:color w:val="333333"/>
          <w:kern w:val="0"/>
          <w:sz w:val="24"/>
          <w:szCs w:val="24"/>
        </w:rPr>
        <w:t xml:space="preserve">    </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第一条　为了建立、健全海关稽查制度，加强海关监督管理，维护正常的进出口秩序和当事人的合法权益，保障国家税收收入，促进对外贸易的发展，根据《中华人民共和国海关法》（以下简称海关法），制定本条例。</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第二条　本条例所称海关稽查，是指海关自进出口货物放行之日起</w:t>
      </w:r>
      <w:r w:rsidRPr="00C565F9">
        <w:rPr>
          <w:rFonts w:asciiTheme="minorEastAsia" w:hAnsiTheme="minorEastAsia" w:cs="宋体"/>
          <w:color w:val="333333"/>
          <w:kern w:val="0"/>
          <w:sz w:val="24"/>
          <w:szCs w:val="24"/>
        </w:rPr>
        <w:t>3</w:t>
      </w:r>
      <w:r w:rsidRPr="00C565F9">
        <w:rPr>
          <w:rFonts w:asciiTheme="minorEastAsia" w:hAnsiTheme="minorEastAsia" w:cs="宋体" w:hint="eastAsia"/>
          <w:color w:val="333333"/>
          <w:kern w:val="0"/>
          <w:sz w:val="24"/>
          <w:szCs w:val="24"/>
        </w:rPr>
        <w:t>年内或者在保税货物、减免税进口货物的海关监管期限内及其后的</w:t>
      </w:r>
      <w:r w:rsidRPr="00C565F9">
        <w:rPr>
          <w:rFonts w:asciiTheme="minorEastAsia" w:hAnsiTheme="minorEastAsia" w:cs="宋体"/>
          <w:color w:val="333333"/>
          <w:kern w:val="0"/>
          <w:sz w:val="24"/>
          <w:szCs w:val="24"/>
        </w:rPr>
        <w:t>3</w:t>
      </w:r>
      <w:r w:rsidRPr="00C565F9">
        <w:rPr>
          <w:rFonts w:asciiTheme="minorEastAsia" w:hAnsiTheme="minorEastAsia" w:cs="宋体" w:hint="eastAsia"/>
          <w:color w:val="333333"/>
          <w:kern w:val="0"/>
          <w:sz w:val="24"/>
          <w:szCs w:val="24"/>
        </w:rPr>
        <w:t>年内，对与进出口货物直接有关的企业、单位的会计账簿、会计凭证、报关单证以及其他有关资料（以下统称账簿、单证等有关资料）和有关进出口货物进行核查，监督其进出口活动的真实性和合法性。</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第三条　海关对下列与进出口货物直接有关的企业、单位实施海关稽查：</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（一）从事对外贸易的企业、单位；</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（二）从事对外加工贸易的企业；</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（三）经营保税业务的企业；</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（四）使用或者经营减免税进口货物的企业、单位；</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（五）从事报关业务的企业；</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（六）海关总署规定的与进出口货物直接有关的其他企业、单位。</w:t>
      </w:r>
    </w:p>
    <w:p w:rsidR="00C565F9" w:rsidRDefault="00FB4B65" w:rsidP="00C565F9">
      <w:pPr>
        <w:widowControl/>
        <w:snapToGrid w:val="0"/>
        <w:ind w:firstLineChars="200" w:firstLine="480"/>
        <w:rPr>
          <w:rFonts w:asciiTheme="minorEastAsia" w:hAnsiTheme="minorEastAsia" w:cs="宋体"/>
          <w:color w:val="333333"/>
          <w:kern w:val="0"/>
          <w:sz w:val="24"/>
          <w:szCs w:val="24"/>
        </w:rPr>
      </w:pPr>
      <w:r w:rsidRPr="00C565F9">
        <w:rPr>
          <w:rFonts w:asciiTheme="minorEastAsia" w:hAnsiTheme="minorEastAsia" w:cs="宋体" w:hint="eastAsia"/>
          <w:color w:val="333333"/>
          <w:kern w:val="0"/>
          <w:sz w:val="24"/>
          <w:szCs w:val="24"/>
        </w:rPr>
        <w:t>第四条　海关根据稽查工作需要，可以向有关行业协会、政府部门和相关企业等收集特定商品、行业与进出口活动有关的信息。收集的信息涉及商业秘密的，海关应当予以保密。</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第五条　海关和海关工作人员执行海关稽查职务，应当客观公正，实事求是，廉洁奉公，保守被稽查人的商业秘密，不得侵犯被稽查人的合法权益。</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jc w:val="center"/>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第二章　账簿、单证等有关资料的管理</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第六条　与进出口货物直接有关的企业、单位所设置、编制的会计账簿、会计凭证、会计报表和其他会计资料，应当真实、准确、完整地记录和反映进出口业务的有关情况。</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第七条　与进出口货物直接有关的企业、单位应当依照有关法律、行政法规规定的保管期限，保管会计账簿、会计凭证、会计报表和其他会计资料。</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报关单证、进出口单证、合同以及与进出口业务直接有关的其他资料，应当在本条例第二条规定的期限内保管。</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第八条　与进出口货物直接有关的企业、单位会计制度健全，能够通过计算机正确、完整地记账、核算的，其计算机储存和输出的会计记录视同会计资料。</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jc w:val="center"/>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第三章　海关稽查的实施</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lastRenderedPageBreak/>
        <w:t>第九条　海关应当按照海关监管的要求，根据与进出口货物直接有关的企业、单位的进出口信</w:t>
      </w:r>
      <w:proofErr w:type="gramStart"/>
      <w:r w:rsidRPr="00C565F9">
        <w:rPr>
          <w:rFonts w:asciiTheme="minorEastAsia" w:hAnsiTheme="minorEastAsia" w:cs="宋体" w:hint="eastAsia"/>
          <w:color w:val="333333"/>
          <w:kern w:val="0"/>
          <w:sz w:val="24"/>
          <w:szCs w:val="24"/>
        </w:rPr>
        <w:t>用状况</w:t>
      </w:r>
      <w:proofErr w:type="gramEnd"/>
      <w:r w:rsidRPr="00C565F9">
        <w:rPr>
          <w:rFonts w:asciiTheme="minorEastAsia" w:hAnsiTheme="minorEastAsia" w:cs="宋体" w:hint="eastAsia"/>
          <w:color w:val="333333"/>
          <w:kern w:val="0"/>
          <w:sz w:val="24"/>
          <w:szCs w:val="24"/>
        </w:rPr>
        <w:t>和风险状况以及进出口货物的具体情况，确定海关稽查重点。</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第十条　海关进行稽查时，应当在实施稽查的</w:t>
      </w:r>
      <w:r w:rsidRPr="00C565F9">
        <w:rPr>
          <w:rFonts w:asciiTheme="minorEastAsia" w:hAnsiTheme="minorEastAsia" w:cs="宋体"/>
          <w:color w:val="333333"/>
          <w:kern w:val="0"/>
          <w:sz w:val="24"/>
          <w:szCs w:val="24"/>
        </w:rPr>
        <w:t>3</w:t>
      </w:r>
      <w:r w:rsidRPr="00C565F9">
        <w:rPr>
          <w:rFonts w:asciiTheme="minorEastAsia" w:hAnsiTheme="minorEastAsia" w:cs="宋体" w:hint="eastAsia"/>
          <w:color w:val="333333"/>
          <w:kern w:val="0"/>
          <w:sz w:val="24"/>
          <w:szCs w:val="24"/>
        </w:rPr>
        <w:t>日前，书面通知被稽查人。在被稽查人有重大违法嫌疑，其账簿、单证等有关资料以及进出口货物可能被转移、隐匿、毁弃等紧急情况下，经直属海关关长或者其授权的隶属海关关长批准，海关可以</w:t>
      </w:r>
      <w:proofErr w:type="gramStart"/>
      <w:r w:rsidRPr="00C565F9">
        <w:rPr>
          <w:rFonts w:asciiTheme="minorEastAsia" w:hAnsiTheme="minorEastAsia" w:cs="宋体" w:hint="eastAsia"/>
          <w:color w:val="333333"/>
          <w:kern w:val="0"/>
          <w:sz w:val="24"/>
          <w:szCs w:val="24"/>
        </w:rPr>
        <w:t>不</w:t>
      </w:r>
      <w:proofErr w:type="gramEnd"/>
      <w:r w:rsidRPr="00C565F9">
        <w:rPr>
          <w:rFonts w:asciiTheme="minorEastAsia" w:hAnsiTheme="minorEastAsia" w:cs="宋体" w:hint="eastAsia"/>
          <w:color w:val="333333"/>
          <w:kern w:val="0"/>
          <w:sz w:val="24"/>
          <w:szCs w:val="24"/>
        </w:rPr>
        <w:t>经事先通知进行稽查。</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第十一条　海关进行稽查时，应当组成稽查组。稽查组的组成人员不得少于</w:t>
      </w:r>
      <w:r w:rsidRPr="00C565F9">
        <w:rPr>
          <w:rFonts w:asciiTheme="minorEastAsia" w:hAnsiTheme="minorEastAsia" w:cs="宋体"/>
          <w:color w:val="333333"/>
          <w:kern w:val="0"/>
          <w:sz w:val="24"/>
          <w:szCs w:val="24"/>
        </w:rPr>
        <w:t>2</w:t>
      </w:r>
      <w:r w:rsidRPr="00C565F9">
        <w:rPr>
          <w:rFonts w:asciiTheme="minorEastAsia" w:hAnsiTheme="minorEastAsia" w:cs="宋体" w:hint="eastAsia"/>
          <w:color w:val="333333"/>
          <w:kern w:val="0"/>
          <w:sz w:val="24"/>
          <w:szCs w:val="24"/>
        </w:rPr>
        <w:t>人。</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第十二条　海关进行稽查时，海关工作人员应当出示海关稽查证。</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海关稽查证，由海关总署统一制发。</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第十三条　海关进行稽查时，海关工作人员与被稽查人有直接利害关系的，应当回避。</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第十四条　海关进行稽查时，可以行使下列职权：</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（一）查阅、复制被稽查人的账簿、单证等有关资料；</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（二）进入被稽查人的生产经营场所、货物存放场所，检查与进出口活动有关的生产经营情况和货物；</w:t>
      </w:r>
    </w:p>
    <w:p w:rsidR="00FB4B65" w:rsidRP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（三）询问被稽查人的法定代表人、主要负责人员和其他有关人员与进出口活动有关的情况和问题；</w:t>
      </w:r>
    </w:p>
    <w:p w:rsidR="00C565F9" w:rsidRDefault="00FB4B65" w:rsidP="00C565F9">
      <w:pPr>
        <w:widowControl/>
        <w:snapToGrid w:val="0"/>
        <w:ind w:firstLine="42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（四）经直属海关关长或者其授权的隶属海关关长批准，查询被稽查人在商业银行或者其他金融机构的存款账户。</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第十五条　海关进行稽查时，发现被稽查人有可能转移、隐匿、篡改、毁弃账簿、单证等有关资料的，经直属海关关长或者其授权的隶属海关关长批准，可以查封、扣押其账簿、单证等有关资料以及相关电子数据存储介质。采取该项措施时，不得妨碍被稽查人正常的生产经营活动。</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海关对有关情况查明或者取证后，应当立即解除对账簿、单证等有关资料以及相关电子数据存储介质的查封、扣押。</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第十六条　海关进行稽查时，发现被稽查人的进出口货物有违反海关法和其他有关法律、行政法规规定的嫌疑的，经直属海关关长或者其授权的隶属海关关长批准，可以查封、扣押有关进出口货物。</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第十七条　被稽查人应当配合海关稽查工作，并提供必要的工作条件。</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第十八条　被稽查人应当接受海关稽查，如实反映情况，提供账簿、单证等有关资料，不得拒绝、拖延、隐瞒。</w:t>
      </w:r>
    </w:p>
    <w:p w:rsid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被稽查人使用计算机记账的，应当向海关提供记账软件、使用说明书及有关资料。</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第十九条　海关查阅、复制被稽查人的账簿、单证等有关资料或者进入被稽查人的生产经营场所、货物存放场所检查时，被稽查人的法定代表人或者主要负责人员或者其指定的代表应当到场，并按照海关的要求清点账簿、打开货物存放场所、搬移货物或者开启货物包装。</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第二十条　海关进行稽查时，与被稽查人有财务往来或者其他商务往来的企业、单位应当向海关如实反映被稽查人的有关情况，提供有关资料和证明材料。</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第二十一条　海关进行稽查时，可以委托会计、税务等方面的专业机构就相关问题</w:t>
      </w:r>
      <w:proofErr w:type="gramStart"/>
      <w:r w:rsidRPr="00C565F9">
        <w:rPr>
          <w:rFonts w:asciiTheme="minorEastAsia" w:hAnsiTheme="minorEastAsia" w:cs="宋体" w:hint="eastAsia"/>
          <w:color w:val="333333"/>
          <w:kern w:val="0"/>
          <w:sz w:val="24"/>
          <w:szCs w:val="24"/>
        </w:rPr>
        <w:t>作出</w:t>
      </w:r>
      <w:proofErr w:type="gramEnd"/>
      <w:r w:rsidRPr="00C565F9">
        <w:rPr>
          <w:rFonts w:asciiTheme="minorEastAsia" w:hAnsiTheme="minorEastAsia" w:cs="宋体" w:hint="eastAsia"/>
          <w:color w:val="333333"/>
          <w:kern w:val="0"/>
          <w:sz w:val="24"/>
          <w:szCs w:val="24"/>
        </w:rPr>
        <w:t>专业结论。</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lastRenderedPageBreak/>
        <w:t>被稽查人委托会计、税务等方面的专业机构</w:t>
      </w:r>
      <w:proofErr w:type="gramStart"/>
      <w:r w:rsidRPr="00C565F9">
        <w:rPr>
          <w:rFonts w:asciiTheme="minorEastAsia" w:hAnsiTheme="minorEastAsia" w:cs="宋体" w:hint="eastAsia"/>
          <w:color w:val="333333"/>
          <w:kern w:val="0"/>
          <w:sz w:val="24"/>
          <w:szCs w:val="24"/>
        </w:rPr>
        <w:t>作出</w:t>
      </w:r>
      <w:proofErr w:type="gramEnd"/>
      <w:r w:rsidRPr="00C565F9">
        <w:rPr>
          <w:rFonts w:asciiTheme="minorEastAsia" w:hAnsiTheme="minorEastAsia" w:cs="宋体" w:hint="eastAsia"/>
          <w:color w:val="333333"/>
          <w:kern w:val="0"/>
          <w:sz w:val="24"/>
          <w:szCs w:val="24"/>
        </w:rPr>
        <w:t>的专业结论，可以作为海关稽查的参考依据。</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第二十二条　海关稽查组实施稽查后，应当向海关报送稽查报告。稽查报告认定被稽查人涉嫌违法的，在报送海关前应当就稽查报告认定的事实征求被稽查人的意见，被稽查人应当自收到相关材料之日起</w:t>
      </w:r>
      <w:r w:rsidRPr="00C565F9">
        <w:rPr>
          <w:rFonts w:asciiTheme="minorEastAsia" w:hAnsiTheme="minorEastAsia" w:cs="宋体"/>
          <w:color w:val="333333"/>
          <w:kern w:val="0"/>
          <w:sz w:val="24"/>
          <w:szCs w:val="24"/>
        </w:rPr>
        <w:t>7</w:t>
      </w:r>
      <w:r w:rsidRPr="00C565F9">
        <w:rPr>
          <w:rFonts w:asciiTheme="minorEastAsia" w:hAnsiTheme="minorEastAsia" w:cs="宋体" w:hint="eastAsia"/>
          <w:color w:val="333333"/>
          <w:kern w:val="0"/>
          <w:sz w:val="24"/>
          <w:szCs w:val="24"/>
        </w:rPr>
        <w:t>日内，将其书面意见送交海关。</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第二十三条　海关应当自收到稽查报告之日起</w:t>
      </w:r>
      <w:r w:rsidRPr="00C565F9">
        <w:rPr>
          <w:rFonts w:asciiTheme="minorEastAsia" w:hAnsiTheme="minorEastAsia" w:cs="宋体"/>
          <w:color w:val="333333"/>
          <w:kern w:val="0"/>
          <w:sz w:val="24"/>
          <w:szCs w:val="24"/>
        </w:rPr>
        <w:t>30</w:t>
      </w:r>
      <w:r w:rsidRPr="00C565F9">
        <w:rPr>
          <w:rFonts w:asciiTheme="minorEastAsia" w:hAnsiTheme="minorEastAsia" w:cs="宋体" w:hint="eastAsia"/>
          <w:color w:val="333333"/>
          <w:kern w:val="0"/>
          <w:sz w:val="24"/>
          <w:szCs w:val="24"/>
        </w:rPr>
        <w:t>日内，</w:t>
      </w:r>
      <w:proofErr w:type="gramStart"/>
      <w:r w:rsidRPr="00C565F9">
        <w:rPr>
          <w:rFonts w:asciiTheme="minorEastAsia" w:hAnsiTheme="minorEastAsia" w:cs="宋体" w:hint="eastAsia"/>
          <w:color w:val="333333"/>
          <w:kern w:val="0"/>
          <w:sz w:val="24"/>
          <w:szCs w:val="24"/>
        </w:rPr>
        <w:t>作出</w:t>
      </w:r>
      <w:proofErr w:type="gramEnd"/>
      <w:r w:rsidRPr="00C565F9">
        <w:rPr>
          <w:rFonts w:asciiTheme="minorEastAsia" w:hAnsiTheme="minorEastAsia" w:cs="宋体" w:hint="eastAsia"/>
          <w:color w:val="333333"/>
          <w:kern w:val="0"/>
          <w:sz w:val="24"/>
          <w:szCs w:val="24"/>
        </w:rPr>
        <w:t>海关稽查结论并送达被稽查人。</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海关应当在稽查结论中说明</w:t>
      </w:r>
      <w:proofErr w:type="gramStart"/>
      <w:r w:rsidRPr="00C565F9">
        <w:rPr>
          <w:rFonts w:asciiTheme="minorEastAsia" w:hAnsiTheme="minorEastAsia" w:cs="宋体" w:hint="eastAsia"/>
          <w:color w:val="333333"/>
          <w:kern w:val="0"/>
          <w:sz w:val="24"/>
          <w:szCs w:val="24"/>
        </w:rPr>
        <w:t>作出</w:t>
      </w:r>
      <w:proofErr w:type="gramEnd"/>
      <w:r w:rsidRPr="00C565F9">
        <w:rPr>
          <w:rFonts w:asciiTheme="minorEastAsia" w:hAnsiTheme="minorEastAsia" w:cs="宋体" w:hint="eastAsia"/>
          <w:color w:val="333333"/>
          <w:kern w:val="0"/>
          <w:sz w:val="24"/>
          <w:szCs w:val="24"/>
        </w:rPr>
        <w:t>结论的理由，并告知被稽查人的权利。</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ind w:firstLineChars="200" w:firstLine="480"/>
        <w:jc w:val="center"/>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第四章　海关稽查的处理</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第二十四条　经海关稽查，发现关税或者其他进口环节的税收少征或者漏征的，由海关依照海关法和有关税收法律、行政法规的规定向被稽查人补征；因被稽查人违反规定而造成少征或者漏征的，由海关依照海关法和有关税收法律、行政法规的规定追征。</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被稽查人在海关规定的期限内仍未缴纳税款的，海关可以依照海关法第六十条第一款、第二款的规定采取强制执行措施。</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第二十五条　依照本条例第十六条的规定查封、扣押的有关进出口货物，经海关稽查排除违法嫌疑的，海关应当立即解除查封、扣押；经海关稽查认定违法的，由海关依照海关法和海关行政处罚实施条例的规定处理。</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第二十六条　经海关稽查，认定被稽查人有违反海关监管规定的行为的，由海关依照海关法和海关行政处罚实施条例的规定处理。</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与进出口货物直接有关的企业、单位主动向海关报告其违反海关监管规定的行为，并接受海关处理的，应当从轻或者减轻行政处罚。</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第二十七条　经海关稽查，发现被稽查人有走私行为，构成犯罪的，依法追究刑事责任；尚不构成犯罪的，由海关依照海关法和海关行政处罚实施条例的规定处理。</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第二十八条　海关通过稽查决定补征或者追征的税款、没收的走私货物和违法所得以及收缴的罚款，全部上缴国库。</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第二十九条　被稽查人同海关发生纳税争议的，依照海关法第六十四条的规定办理。</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ind w:firstLineChars="200" w:firstLine="480"/>
        <w:jc w:val="center"/>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第五章　法律责任</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第三十条　被稽查人有下列行为之一的，由海关责令限期改正，逾期不改正的，处</w:t>
      </w:r>
      <w:r w:rsidRPr="00C565F9">
        <w:rPr>
          <w:rFonts w:asciiTheme="minorEastAsia" w:hAnsiTheme="minorEastAsia" w:cs="宋体"/>
          <w:color w:val="333333"/>
          <w:kern w:val="0"/>
          <w:sz w:val="24"/>
          <w:szCs w:val="24"/>
        </w:rPr>
        <w:t>2</w:t>
      </w:r>
      <w:r w:rsidRPr="00C565F9">
        <w:rPr>
          <w:rFonts w:asciiTheme="minorEastAsia" w:hAnsiTheme="minorEastAsia" w:cs="宋体" w:hint="eastAsia"/>
          <w:color w:val="333333"/>
          <w:kern w:val="0"/>
          <w:sz w:val="24"/>
          <w:szCs w:val="24"/>
        </w:rPr>
        <w:t>万元以上</w:t>
      </w:r>
      <w:r w:rsidRPr="00C565F9">
        <w:rPr>
          <w:rFonts w:asciiTheme="minorEastAsia" w:hAnsiTheme="minorEastAsia" w:cs="宋体"/>
          <w:color w:val="333333"/>
          <w:kern w:val="0"/>
          <w:sz w:val="24"/>
          <w:szCs w:val="24"/>
        </w:rPr>
        <w:t>10</w:t>
      </w:r>
      <w:r w:rsidRPr="00C565F9">
        <w:rPr>
          <w:rFonts w:asciiTheme="minorEastAsia" w:hAnsiTheme="minorEastAsia" w:cs="宋体" w:hint="eastAsia"/>
          <w:color w:val="333333"/>
          <w:kern w:val="0"/>
          <w:sz w:val="24"/>
          <w:szCs w:val="24"/>
        </w:rPr>
        <w:t>万元以下的罚款；情节严重的，撤销其报关注册登记；对负有直接责任的主管人员和其他直接责任人员处</w:t>
      </w:r>
      <w:r w:rsidRPr="00C565F9">
        <w:rPr>
          <w:rFonts w:asciiTheme="minorEastAsia" w:hAnsiTheme="minorEastAsia" w:cs="宋体"/>
          <w:color w:val="333333"/>
          <w:kern w:val="0"/>
          <w:sz w:val="24"/>
          <w:szCs w:val="24"/>
        </w:rPr>
        <w:t>5000</w:t>
      </w:r>
      <w:r w:rsidRPr="00C565F9">
        <w:rPr>
          <w:rFonts w:asciiTheme="minorEastAsia" w:hAnsiTheme="minorEastAsia" w:cs="宋体" w:hint="eastAsia"/>
          <w:color w:val="333333"/>
          <w:kern w:val="0"/>
          <w:sz w:val="24"/>
          <w:szCs w:val="24"/>
        </w:rPr>
        <w:t>元以上</w:t>
      </w:r>
      <w:r w:rsidRPr="00C565F9">
        <w:rPr>
          <w:rFonts w:asciiTheme="minorEastAsia" w:hAnsiTheme="minorEastAsia" w:cs="宋体"/>
          <w:color w:val="333333"/>
          <w:kern w:val="0"/>
          <w:sz w:val="24"/>
          <w:szCs w:val="24"/>
        </w:rPr>
        <w:t>5</w:t>
      </w:r>
      <w:r w:rsidRPr="00C565F9">
        <w:rPr>
          <w:rFonts w:asciiTheme="minorEastAsia" w:hAnsiTheme="minorEastAsia" w:cs="宋体" w:hint="eastAsia"/>
          <w:color w:val="333333"/>
          <w:kern w:val="0"/>
          <w:sz w:val="24"/>
          <w:szCs w:val="24"/>
        </w:rPr>
        <w:t>万元以下的罚款；构成犯罪的，依法追究刑事责任：</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（一）向海关提供虚假情况或者隐瞒重要事实；</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（二）拒绝、拖延向海关提供账簿、单证等有关资料以及相关电子数据存储介质；</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（三）转移、隐匿、篡改、毁弃报关单证、进出口单证、合同、与进出口业务直接有关的其他资料以及相关电子数据存储介质。</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lastRenderedPageBreak/>
        <w:t>第三十一条　被稽查人未按照规定编制或者保管报关单证、进出口单证、合同以及与进出口业务直接有关的其他资料的，由海关责令限期改正，逾期不改正的，处</w:t>
      </w:r>
      <w:r w:rsidRPr="00C565F9">
        <w:rPr>
          <w:rFonts w:asciiTheme="minorEastAsia" w:hAnsiTheme="minorEastAsia" w:cs="宋体"/>
          <w:color w:val="333333"/>
          <w:kern w:val="0"/>
          <w:sz w:val="24"/>
          <w:szCs w:val="24"/>
        </w:rPr>
        <w:t>1</w:t>
      </w:r>
      <w:r w:rsidRPr="00C565F9">
        <w:rPr>
          <w:rFonts w:asciiTheme="minorEastAsia" w:hAnsiTheme="minorEastAsia" w:cs="宋体" w:hint="eastAsia"/>
          <w:color w:val="333333"/>
          <w:kern w:val="0"/>
          <w:sz w:val="24"/>
          <w:szCs w:val="24"/>
        </w:rPr>
        <w:t>万元以上</w:t>
      </w:r>
      <w:r w:rsidRPr="00C565F9">
        <w:rPr>
          <w:rFonts w:asciiTheme="minorEastAsia" w:hAnsiTheme="minorEastAsia" w:cs="宋体"/>
          <w:color w:val="333333"/>
          <w:kern w:val="0"/>
          <w:sz w:val="24"/>
          <w:szCs w:val="24"/>
        </w:rPr>
        <w:t>5</w:t>
      </w:r>
      <w:r w:rsidRPr="00C565F9">
        <w:rPr>
          <w:rFonts w:asciiTheme="minorEastAsia" w:hAnsiTheme="minorEastAsia" w:cs="宋体" w:hint="eastAsia"/>
          <w:color w:val="333333"/>
          <w:kern w:val="0"/>
          <w:sz w:val="24"/>
          <w:szCs w:val="24"/>
        </w:rPr>
        <w:t>万元以下的罚款；情节严重的，撤销其报关注册登记；对负有直接责任的主管人员和其他直接责任人员处</w:t>
      </w:r>
      <w:r w:rsidRPr="00C565F9">
        <w:rPr>
          <w:rFonts w:asciiTheme="minorEastAsia" w:hAnsiTheme="minorEastAsia" w:cs="宋体"/>
          <w:color w:val="333333"/>
          <w:kern w:val="0"/>
          <w:sz w:val="24"/>
          <w:szCs w:val="24"/>
        </w:rPr>
        <w:t>1000</w:t>
      </w:r>
      <w:r w:rsidRPr="00C565F9">
        <w:rPr>
          <w:rFonts w:asciiTheme="minorEastAsia" w:hAnsiTheme="minorEastAsia" w:cs="宋体" w:hint="eastAsia"/>
          <w:color w:val="333333"/>
          <w:kern w:val="0"/>
          <w:sz w:val="24"/>
          <w:szCs w:val="24"/>
        </w:rPr>
        <w:t>元以上</w:t>
      </w:r>
      <w:r w:rsidRPr="00C565F9">
        <w:rPr>
          <w:rFonts w:asciiTheme="minorEastAsia" w:hAnsiTheme="minorEastAsia" w:cs="宋体"/>
          <w:color w:val="333333"/>
          <w:kern w:val="0"/>
          <w:sz w:val="24"/>
          <w:szCs w:val="24"/>
        </w:rPr>
        <w:t>5000</w:t>
      </w:r>
      <w:r w:rsidRPr="00C565F9">
        <w:rPr>
          <w:rFonts w:asciiTheme="minorEastAsia" w:hAnsiTheme="minorEastAsia" w:cs="宋体" w:hint="eastAsia"/>
          <w:color w:val="333333"/>
          <w:kern w:val="0"/>
          <w:sz w:val="24"/>
          <w:szCs w:val="24"/>
        </w:rPr>
        <w:t>元以下的罚款。</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第三十二条　被稽查人未按照规定设置或者编制账簿，或者转移、隐匿、篡改、毁弃账簿的，依照会计法的有关规定追究法律责任。</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第三十三条　海关工作人员在稽查中玩忽职守、徇私舞弊、滥用职权，或者利用职务上的便利，收受、索取被稽查人的财物，构成犯罪的，依法追究刑事责任；尚不构成犯罪的，依法给予处分。</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ind w:firstLineChars="200" w:firstLine="480"/>
        <w:jc w:val="center"/>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第六章　附　　则</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color w:val="333333"/>
          <w:kern w:val="0"/>
          <w:sz w:val="24"/>
          <w:szCs w:val="24"/>
        </w:rPr>
        <w:t> </w:t>
      </w:r>
    </w:p>
    <w:p w:rsidR="00FB4B65" w:rsidRPr="00C565F9" w:rsidRDefault="00FB4B65" w:rsidP="00C565F9">
      <w:pPr>
        <w:widowControl/>
        <w:snapToGrid w:val="0"/>
        <w:ind w:firstLineChars="200" w:firstLine="480"/>
        <w:rPr>
          <w:rFonts w:asciiTheme="minorEastAsia" w:hAnsiTheme="minorEastAsia" w:cs="宋体"/>
          <w:kern w:val="0"/>
          <w:sz w:val="24"/>
          <w:szCs w:val="24"/>
        </w:rPr>
      </w:pPr>
      <w:r w:rsidRPr="00C565F9">
        <w:rPr>
          <w:rFonts w:asciiTheme="minorEastAsia" w:hAnsiTheme="minorEastAsia" w:cs="宋体" w:hint="eastAsia"/>
          <w:color w:val="333333"/>
          <w:kern w:val="0"/>
          <w:sz w:val="24"/>
          <w:szCs w:val="24"/>
        </w:rPr>
        <w:t>第三十四条　本条例自发布之日起施行。</w:t>
      </w:r>
    </w:p>
    <w:p w:rsidR="002131DB" w:rsidRPr="00C565F9" w:rsidRDefault="00FB4B65" w:rsidP="00C565F9">
      <w:pPr>
        <w:widowControl/>
        <w:snapToGrid w:val="0"/>
        <w:ind w:firstLine="420"/>
        <w:rPr>
          <w:rFonts w:asciiTheme="minorEastAsia" w:hAnsiTheme="minorEastAsia"/>
          <w:sz w:val="24"/>
          <w:szCs w:val="24"/>
        </w:rPr>
      </w:pPr>
      <w:r w:rsidRPr="00C565F9">
        <w:rPr>
          <w:rFonts w:asciiTheme="minorEastAsia" w:hAnsiTheme="minorEastAsia" w:cs="宋体"/>
          <w:kern w:val="0"/>
          <w:sz w:val="24"/>
          <w:szCs w:val="24"/>
        </w:rPr>
        <w:t>  </w:t>
      </w:r>
    </w:p>
    <w:sectPr w:rsidR="002131DB" w:rsidRPr="00C565F9" w:rsidSect="002131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1A1" w:rsidRDefault="00FD11A1" w:rsidP="00C565F9">
      <w:r>
        <w:separator/>
      </w:r>
    </w:p>
  </w:endnote>
  <w:endnote w:type="continuationSeparator" w:id="0">
    <w:p w:rsidR="00FD11A1" w:rsidRDefault="00FD11A1" w:rsidP="00C565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1A1" w:rsidRDefault="00FD11A1" w:rsidP="00C565F9">
      <w:r>
        <w:separator/>
      </w:r>
    </w:p>
  </w:footnote>
  <w:footnote w:type="continuationSeparator" w:id="0">
    <w:p w:rsidR="00FD11A1" w:rsidRDefault="00FD11A1" w:rsidP="00C565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B4B65"/>
    <w:rsid w:val="002131DB"/>
    <w:rsid w:val="003E0794"/>
    <w:rsid w:val="005B429E"/>
    <w:rsid w:val="0092004A"/>
    <w:rsid w:val="009D523E"/>
    <w:rsid w:val="00B243F6"/>
    <w:rsid w:val="00C565F9"/>
    <w:rsid w:val="00FB4B65"/>
    <w:rsid w:val="00FD11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1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65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65F9"/>
    <w:rPr>
      <w:sz w:val="18"/>
      <w:szCs w:val="18"/>
    </w:rPr>
  </w:style>
  <w:style w:type="paragraph" w:styleId="a4">
    <w:name w:val="footer"/>
    <w:basedOn w:val="a"/>
    <w:link w:val="Char0"/>
    <w:uiPriority w:val="99"/>
    <w:semiHidden/>
    <w:unhideWhenUsed/>
    <w:rsid w:val="00C565F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65F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516</Words>
  <Characters>2943</Characters>
  <Application>Microsoft Office Word</Application>
  <DocSecurity>0</DocSecurity>
  <Lines>24</Lines>
  <Paragraphs>6</Paragraphs>
  <ScaleCrop>false</ScaleCrop>
  <Company>GBHG</Company>
  <LinksUpToDate>false</LinksUpToDate>
  <CharactersWithSpaces>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5735120</dc:creator>
  <cp:lastModifiedBy>Windows 用户</cp:lastModifiedBy>
  <cp:revision>2</cp:revision>
  <dcterms:created xsi:type="dcterms:W3CDTF">2020-07-27T02:40:00Z</dcterms:created>
  <dcterms:modified xsi:type="dcterms:W3CDTF">2020-07-27T02:40:00Z</dcterms:modified>
</cp:coreProperties>
</file>