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="0" w:line="560" w:lineRule="exact"/>
        <w:jc w:val="center"/>
        <w:rPr>
          <w:rFonts w:ascii="方正黑体_GBK" w:eastAsia="方正黑体_GBK"/>
          <w:sz w:val="32"/>
          <w:szCs w:val="32"/>
        </w:rPr>
      </w:pPr>
      <w:r>
        <w:rPr>
          <w:rFonts w:ascii="方正小标宋_GBK" w:eastAsia="方正小标宋_GBK" w:hint="eastAsia"/>
          <w:sz w:val="44"/>
          <w:szCs w:val="44"/>
        </w:rPr>
        <w:t>斗门海关2025年政府信息公开工作年度报告</w:t>
      </w:r>
    </w:p>
    <w:p>
      <w:pPr>
        <w:spacing w:after="0" w:line="56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</w:p>
    <w:p>
      <w:pPr>
        <w:spacing w:after="0" w:line="56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一、总体情况</w:t>
      </w:r>
    </w:p>
    <w:p>
      <w:pPr>
        <w:autoSpaceDN w:val="0"/>
        <w:spacing w:after="0"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2025</w:t>
      </w:r>
      <w:r>
        <w:rPr>
          <w:rFonts w:ascii="方正仿宋_GBK" w:eastAsia="方正仿宋_GBK" w:hint="eastAsia"/>
          <w:sz w:val="32"/>
          <w:szCs w:val="32"/>
        </w:rPr>
        <w:t>年，斗门海关贯彻落实《中华人民共和国政府信息公开条例》和上级政务公开工作部署，进一步推进政府信息公开制度化、规范化、常态化，切实提升政府工作透明度和公信力。</w:t>
      </w:r>
    </w:p>
    <w:p>
      <w:pPr>
        <w:spacing w:after="0" w:line="560" w:lineRule="exact"/>
        <w:ind w:firstLineChars="200" w:firstLine="640"/>
        <w:jc w:val="both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（一）统筹协同，夯实工作基础。</w:t>
      </w:r>
    </w:p>
    <w:p>
      <w:pPr>
        <w:spacing w:after="0" w:line="56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着力构建权责清晰、运转高效、协同联动的公开工作格局。</w:t>
      </w:r>
      <w:r>
        <w:rPr>
          <w:rFonts w:ascii="方正仿宋_GBK" w:eastAsia="方正仿宋_GBK" w:hint="eastAsia"/>
          <w:b/>
          <w:bCs/>
          <w:sz w:val="32"/>
          <w:szCs w:val="32"/>
        </w:rPr>
        <w:t>一是强化制度引领。</w:t>
      </w:r>
      <w:r>
        <w:rPr>
          <w:rFonts w:ascii="方正仿宋_GBK" w:eastAsia="方正仿宋_GBK" w:hint="eastAsia"/>
          <w:sz w:val="32"/>
          <w:szCs w:val="32"/>
        </w:rPr>
        <w:t>将政务公开纳入关区工作大局统筹谋划，修订完善本单位信息公开事项，明确公开范围、程序、时限与责任，实现“应公开、尽公开”的源头管控。</w:t>
      </w:r>
      <w:r>
        <w:rPr>
          <w:rFonts w:ascii="方正仿宋_GBK" w:eastAsia="方正仿宋_GBK" w:hint="eastAsia"/>
          <w:b/>
          <w:bCs/>
          <w:sz w:val="32"/>
          <w:szCs w:val="32"/>
        </w:rPr>
        <w:t>二是压实主体责任。</w:t>
      </w:r>
      <w:r>
        <w:rPr>
          <w:rFonts w:ascii="方正仿宋_GBK" w:eastAsia="方正仿宋_GBK" w:hint="eastAsia"/>
          <w:sz w:val="32"/>
          <w:szCs w:val="32"/>
        </w:rPr>
        <w:t>推动基层政务公开与行政执法、政务服务深度融合，进一步健全政务公开专栏及网站管理机制，充分发挥政务公开在推动海关监管服务规范化、透明化中的积极作用，全力护航经济社会高质量发展大局。</w:t>
      </w:r>
      <w:r>
        <w:rPr>
          <w:rFonts w:ascii="方正仿宋_GBK" w:eastAsia="方正仿宋_GBK" w:hint="eastAsia"/>
          <w:b/>
          <w:bCs/>
          <w:sz w:val="32"/>
          <w:szCs w:val="32"/>
        </w:rPr>
        <w:t>三是提升队伍能力。</w:t>
      </w:r>
      <w:r>
        <w:rPr>
          <w:rFonts w:ascii="方正仿宋_GBK" w:eastAsia="方正仿宋_GBK" w:hint="eastAsia"/>
          <w:sz w:val="32"/>
          <w:szCs w:val="32"/>
        </w:rPr>
        <w:t>围绕《中华人民共和国政府信息公开条例》及</w:t>
      </w:r>
      <w:r>
        <w:rPr>
          <w:rFonts w:ascii="方正仿宋_GBK" w:eastAsia="方正仿宋_GBK"/>
          <w:sz w:val="32"/>
          <w:szCs w:val="32"/>
        </w:rPr>
        <w:t>海关总署、拱北海关最新部署要求</w:t>
      </w:r>
      <w:r>
        <w:rPr>
          <w:rFonts w:ascii="方正仿宋_GBK" w:eastAsia="方正仿宋_GBK" w:hint="eastAsia"/>
          <w:sz w:val="32"/>
          <w:szCs w:val="32"/>
        </w:rPr>
        <w:t>，对依申请公开规范化办理、全流程系统操作等重点内容，常态化开展培训，着力培养一批懂政策、善操作、会沟通的工作队伍。</w:t>
      </w:r>
    </w:p>
    <w:p>
      <w:pPr>
        <w:spacing w:after="0" w:line="560" w:lineRule="exact"/>
        <w:ind w:firstLineChars="200" w:firstLine="640"/>
        <w:jc w:val="both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（二）惠企惠民，提升公开质效。</w:t>
      </w:r>
    </w:p>
    <w:p>
      <w:pPr>
        <w:pStyle w:val="41"/>
        <w:keepNext w:val="0"/>
        <w:keepLines w:val="0"/>
        <w:pageBreakBefore w:val="0"/>
        <w:widowControl/>
        <w:pBdr>
          <w:bottom w:val="single" w:sz="4" w:space="31" w:color="FFFFFF"/>
        </w:pBdr>
        <w:tabs>
          <w:tab w:val="left" w:pos="5306"/>
        </w:tabs>
        <w:kinsoku/>
        <w:wordWrap/>
        <w:overflowPunct w:val="0"/>
        <w:topLinePunct w:val="0"/>
        <w:autoSpaceDE/>
        <w:autoSpaceDN/>
        <w:adjustRightInd/>
        <w:snapToGrid w:val="0"/>
        <w:ind w:left="0"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坚持将服务群众、便利办事作为公开工作的出发点和落脚点，将政务服务与政务公开有机融合。</w:t>
      </w:r>
      <w:r>
        <w:rPr>
          <w:rFonts w:ascii="方正仿宋_GBK" w:eastAsia="方正仿宋_GBK" w:hint="eastAsia"/>
          <w:b/>
          <w:bCs/>
          <w:sz w:val="32"/>
          <w:szCs w:val="32"/>
        </w:rPr>
        <w:t>一是持续完善平台建设。</w:t>
      </w:r>
      <w:r>
        <w:rPr>
          <w:rFonts w:ascii="方正仿宋_GBK" w:eastAsia="方正仿宋_GBK" w:hint="eastAsia"/>
          <w:sz w:val="32"/>
          <w:szCs w:val="32"/>
        </w:rPr>
        <w:t>充实完善机构概况、办事指南、交流互动等栏目内容，年内通过“双随机、一公开”专栏集中发布监管信息</w:t>
      </w:r>
      <w:r>
        <w:rPr>
          <w:rFonts w:ascii="Times New Roman" w:eastAsia="方正仿宋_GBK" w:hAnsi="Times New Roman"/>
          <w:sz w:val="32"/>
          <w:szCs w:val="32"/>
        </w:rPr>
        <w:t>40</w:t>
      </w:r>
      <w:r>
        <w:rPr>
          <w:rFonts w:ascii="Times New Roman" w:eastAsia="方正仿宋_GBK" w:hAnsi="Times New Roman" w:hint="eastAsia"/>
          <w:sz w:val="32"/>
          <w:szCs w:val="32"/>
        </w:rPr>
        <w:t>项次</w:t>
      </w:r>
      <w:r>
        <w:rPr>
          <w:rFonts w:ascii="方正仿宋_GBK" w:eastAsia="方正仿宋_GBK" w:hint="eastAsia"/>
          <w:sz w:val="32"/>
          <w:szCs w:val="32"/>
        </w:rPr>
        <w:t>，推动执法过程透明化、规范化。</w:t>
      </w:r>
      <w:r>
        <w:rPr>
          <w:rFonts w:ascii="方正仿宋_GBK" w:eastAsia="方正仿宋_GBK" w:hint="eastAsia"/>
          <w:b/>
          <w:bCs/>
          <w:sz w:val="32"/>
          <w:szCs w:val="32"/>
        </w:rPr>
        <w:t>二是高效回应群众需求。</w:t>
      </w:r>
      <w:r>
        <w:rPr>
          <w:rFonts w:ascii="方正仿宋_GBK" w:eastAsia="方正仿宋_GBK" w:hint="eastAsia"/>
          <w:sz w:val="32"/>
          <w:szCs w:val="32"/>
        </w:rPr>
        <w:t>依托政府公开邮箱、服务热线、实体窗口等平台，建立咨询受理、转办、反馈闭环机制，全年累计处理群众来电及来访咨询</w:t>
      </w:r>
      <w:r>
        <w:rPr>
          <w:rFonts w:ascii="Times New Roman" w:eastAsia="方正仿宋_GBK" w:hAnsi="Times New Roman"/>
          <w:sz w:val="32"/>
          <w:szCs w:val="32"/>
        </w:rPr>
        <w:t>38</w:t>
      </w:r>
      <w:r>
        <w:rPr>
          <w:rFonts w:ascii="方正仿宋_GBK" w:eastAsia="方正仿宋_GBK" w:hint="eastAsia"/>
          <w:sz w:val="32"/>
          <w:szCs w:val="32"/>
        </w:rPr>
        <w:t>项次，做到件件有记录、事事有回音。</w:t>
      </w:r>
      <w:r>
        <w:rPr>
          <w:rFonts w:ascii="方正仿宋_GBK" w:eastAsia="方正仿宋_GBK" w:hint="eastAsia"/>
          <w:b/>
          <w:bCs/>
          <w:sz w:val="32"/>
          <w:szCs w:val="32"/>
        </w:rPr>
        <w:t>三是规范办理依申请公开。</w:t>
      </w:r>
      <w:r>
        <w:rPr>
          <w:rFonts w:ascii="方正仿宋_GBK" w:eastAsia="方正仿宋_GBK" w:hint="eastAsia"/>
          <w:sz w:val="32"/>
          <w:szCs w:val="32"/>
        </w:rPr>
        <w:t>完善申请登记、统一答复流程，提升答复文书规范性与时效性，全年妥善办理公民依申请公开事项</w:t>
      </w:r>
      <w:r>
        <w:rPr>
          <w:rFonts w:ascii="Times New Roman" w:eastAsia="方正仿宋_GBK" w:hAnsi="Times New Roman"/>
          <w:sz w:val="32"/>
          <w:szCs w:val="32"/>
        </w:rPr>
        <w:t>2项次</w:t>
      </w:r>
      <w:r>
        <w:rPr>
          <w:rFonts w:ascii="方正仿宋_GBK" w:eastAsia="方正仿宋_GBK" w:hint="eastAsia"/>
          <w:sz w:val="32"/>
          <w:szCs w:val="32"/>
        </w:rPr>
        <w:t>，切实保障公众知情权、参与权和监督权。</w:t>
      </w:r>
    </w:p>
    <w:p>
      <w:pPr>
        <w:pStyle w:val="41"/>
        <w:keepNext w:val="0"/>
        <w:keepLines w:val="0"/>
        <w:pageBreakBefore w:val="0"/>
        <w:widowControl/>
        <w:pBdr>
          <w:bottom w:val="single" w:sz="4" w:space="31" w:color="FFFFFF"/>
        </w:pBdr>
        <w:tabs>
          <w:tab w:val="left" w:pos="5306"/>
        </w:tabs>
        <w:kinsoku/>
        <w:wordWrap/>
        <w:overflowPunct w:val="0"/>
        <w:topLinePunct w:val="0"/>
        <w:autoSpaceDE/>
        <w:autoSpaceDN/>
        <w:adjustRightInd/>
        <w:snapToGrid w:val="0"/>
        <w:ind w:left="0" w:firstLineChars="200" w:firstLine="640"/>
        <w:jc w:val="left"/>
        <w:rPr>
          <w:rFonts w:ascii="方正楷体_GBK" w:eastAsia="方正楷体_GBK" w:hint="eastAsia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（三）主动作为，畅通交流渠道。</w:t>
      </w:r>
    </w:p>
    <w:p>
      <w:pPr>
        <w:pStyle w:val="41"/>
        <w:keepNext w:val="0"/>
        <w:keepLines w:val="0"/>
        <w:pageBreakBefore w:val="0"/>
        <w:widowControl/>
        <w:pBdr>
          <w:bottom w:val="single" w:sz="4" w:space="31" w:color="FFFFFF"/>
        </w:pBdr>
        <w:tabs>
          <w:tab w:val="left" w:pos="5306"/>
        </w:tabs>
        <w:kinsoku/>
        <w:wordWrap/>
        <w:overflowPunct w:val="0"/>
        <w:topLinePunct w:val="0"/>
        <w:autoSpaceDE/>
        <w:autoSpaceDN/>
        <w:adjustRightInd/>
        <w:snapToGrid w:val="0"/>
        <w:ind w:left="0" w:firstLineChars="200" w:firstLine="640"/>
        <w:jc w:val="left"/>
        <w:rPr>
          <w:rFonts w:ascii="Times New Roman" w:hAnsi="Times New Roman" w:hint="eastAsia"/>
          <w:color w:val="000000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以构建全方位、立体化、便捷高效的公开网络为目标，持续拓宽渠道、丰富形式、加强互动。</w:t>
      </w:r>
      <w:r>
        <w:rPr>
          <w:rFonts w:ascii="方正仿宋_GBK" w:eastAsia="方正仿宋_GBK" w:hint="eastAsia"/>
          <w:b/>
          <w:bCs/>
          <w:sz w:val="32"/>
          <w:szCs w:val="32"/>
        </w:rPr>
        <w:t>一是完善多元化沟通机制。</w:t>
      </w:r>
      <w:r>
        <w:rPr>
          <w:rFonts w:ascii="方正仿宋_GBK" w:eastAsia="方正仿宋_GBK" w:hint="eastAsia"/>
          <w:sz w:val="32"/>
          <w:szCs w:val="32"/>
        </w:rPr>
        <w:t>在优化门户网站、政务公开电话、关长信箱等传统载体功能的基础上，通过“关企面对面”政策宣讲会、“关长接待日”活动，零距离解读政策举措，年内共举办</w:t>
      </w:r>
      <w:r>
        <w:rPr>
          <w:rFonts w:ascii="Times New Roman" w:eastAsia="方正仿宋_GBK" w:cs="Times New Roman" w:hAnsi="Times New Roman"/>
          <w:sz w:val="32"/>
          <w:szCs w:val="32"/>
        </w:rPr>
        <w:t>35</w:t>
      </w:r>
      <w:r>
        <w:rPr>
          <w:rFonts w:ascii="方正仿宋_GBK" w:eastAsia="方正仿宋_GBK" w:hint="eastAsia"/>
          <w:sz w:val="32"/>
          <w:szCs w:val="32"/>
        </w:rPr>
        <w:t>场次。</w:t>
      </w:r>
      <w:r>
        <w:rPr>
          <w:rFonts w:ascii="方正仿宋_GBK" w:eastAsia="方正仿宋_GBK" w:hint="eastAsia"/>
          <w:b/>
          <w:bCs/>
          <w:sz w:val="32"/>
          <w:szCs w:val="32"/>
        </w:rPr>
        <w:t>二是构建融媒体传播矩阵。</w:t>
      </w:r>
      <w:r>
        <w:rPr>
          <w:rFonts w:ascii="方正仿宋_GBK" w:eastAsia="方正仿宋_GBK" w:hint="eastAsia"/>
          <w:sz w:val="32"/>
          <w:szCs w:val="32"/>
        </w:rPr>
        <w:t>充分利用央视、地方主流媒体，海关自媒体平台，创新运用图文、短视频等形式，生动解读业务、展现队伍风貌，全年累计获媒体报道</w:t>
      </w:r>
      <w:r>
        <w:rPr>
          <w:rFonts w:ascii="Times New Roman" w:eastAsia="方正仿宋_GBK" w:cs="Times New Roman" w:hAnsi="Times New Roman"/>
          <w:sz w:val="32"/>
          <w:szCs w:val="32"/>
        </w:rPr>
        <w:t>60</w:t>
      </w:r>
      <w:r>
        <w:rPr>
          <w:rFonts w:ascii="方正仿宋_GBK" w:eastAsia="方正仿宋_GBK" w:hint="eastAsia"/>
          <w:sz w:val="32"/>
          <w:szCs w:val="32"/>
        </w:rPr>
        <w:t>余篇次。</w:t>
      </w:r>
      <w:r>
        <w:rPr>
          <w:rFonts w:ascii="方正仿宋_GBK" w:eastAsia="方正仿宋_GBK" w:hint="eastAsia"/>
          <w:b/>
          <w:bCs/>
          <w:sz w:val="32"/>
          <w:szCs w:val="32"/>
        </w:rPr>
        <w:t>三是推动公开与服务深度融合。</w:t>
      </w:r>
      <w:r>
        <w:rPr>
          <w:rFonts w:ascii="方正仿宋_GBK" w:eastAsia="方正仿宋_GBK" w:hint="eastAsia"/>
          <w:sz w:val="32"/>
          <w:szCs w:val="32"/>
        </w:rPr>
        <w:t>在业务现场、政务服务窗口等提供通俗易懂的服务指南与政策问答，切实提升政务公开的覆盖面、渗透力与实效性。成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立斗门海关“且听枫吟”枫桥经验工作室，提炼“望闻问切”四诊工作法，</w:t>
      </w:r>
      <w:r>
        <w:rPr>
          <w:rFonts w:ascii="Times New Roman" w:eastAsia="方正仿宋_GBK" w:cs="Times New Roman" w:hAnsi="Times New Roman"/>
          <w:sz w:val="32"/>
          <w:szCs w:val="32"/>
        </w:rPr>
        <w:t>妥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善化解矛盾争议和执法风险。组建“新芽”志愿服务队、“海枫”普法志愿服务队，开展普法宣传10余次，传递向上向善力量。</w:t>
      </w:r>
    </w:p>
    <w:p>
      <w:pPr>
        <w:pStyle w:val="30"/>
        <w:adjustRightInd w:val="0"/>
        <w:snapToGrid w:val="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271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25</w:t>
            </w:r>
            <w:r>
              <w:rPr>
                <w:rFonts w:eastAsia="方正仿宋_GBK" w:cs="宋体"/>
                <w:sz w:val="24"/>
                <w:szCs w:val="24"/>
              </w:rPr>
              <w:t>3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>
      <w:pPr>
        <w:pStyle w:val="22"/>
        <w:widowControl/>
        <w:shd w:val="clear" w:color="auto" w:fill="FFFFFF"/>
        <w:adjustRightInd w:val="0"/>
        <w:snapToGrid w:val="0"/>
        <w:spacing w:beforeAutospacing="0" w:afterLines="50" w:after="156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>
      <w:pPr>
        <w:pStyle w:val="22"/>
        <w:widowControl/>
        <w:shd w:val="clear" w:color="auto" w:fill="FFFFFF"/>
        <w:spacing w:beforeLines="50" w:before="156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>
      <w:pPr>
        <w:spacing w:after="0" w:line="560" w:lineRule="exact"/>
        <w:ind w:firstLineChars="200" w:firstLine="640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五、存在的主要问题及改进情况</w:t>
      </w:r>
    </w:p>
    <w:p>
      <w:pPr>
        <w:spacing w:after="0" w:line="560" w:lineRule="exact"/>
        <w:ind w:firstLineChars="200" w:firstLine="640"/>
        <w:jc w:val="both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（一）</w:t>
      </w:r>
      <w:r>
        <w:rPr>
          <w:rFonts w:ascii="Times New Roman" w:eastAsia="方正楷体_GBK" w:cs="Times New Roman" w:hAnsi="Times New Roman"/>
          <w:b/>
          <w:bCs/>
          <w:sz w:val="32"/>
          <w:szCs w:val="32"/>
        </w:rPr>
        <w:t>2024</w:t>
      </w:r>
      <w:r>
        <w:rPr>
          <w:rFonts w:ascii="方正楷体_GBK" w:eastAsia="方正楷体_GBK" w:hint="eastAsia"/>
          <w:b/>
          <w:bCs/>
          <w:sz w:val="32"/>
          <w:szCs w:val="32"/>
        </w:rPr>
        <w:t>年年报中所提问题整改情况。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2024年斗门海关政府信息公开中所存在的问题：现场业务科室对政务公开文件学习不够及时，对最新工作要求掌握不够全面、准确，存在政务公开答复书对法定救济条款引用不当问题。2025年，斗门海关针对存在的问题进行改进：围绕最新政策法规、依申请公开办理规范、答复文书标准化模板、法定救济途径准确告知等内容开展针对性培训，确保现场业务科室工作人员能够及时掌握最新工作要求，准确理解法律条文内涵。</w:t>
      </w:r>
    </w:p>
    <w:p>
      <w:pPr>
        <w:spacing w:after="0" w:line="560" w:lineRule="exact"/>
        <w:ind w:firstLineChars="200" w:firstLine="640"/>
        <w:jc w:val="both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（二）目前存在问题。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监督考核机制尚不完善，存在“重部署轻检查”的倾向，日常监测、定期评估等机制不够健全，公开内容的准确性、完整性、及时性不足，难以及时发现工作中存在的问题。2026年，斗门海关将建立“日常监测+专项检查”常态化监督</w:t>
      </w:r>
      <w:r>
        <w:rPr>
          <w:rFonts w:ascii="Times New Roman" w:eastAsia="方正仿宋_GBK" w:cs="Times New Roman" w:hAnsi="Times New Roman"/>
          <w:sz w:val="32"/>
          <w:szCs w:val="32"/>
        </w:rPr>
        <w:t>机制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，强化问题发现与整改闭环管理，</w:t>
      </w:r>
      <w:r>
        <w:rPr>
          <w:rFonts w:ascii="Times New Roman" w:eastAsia="方正仿宋_GBK" w:cs="Times New Roman" w:hAnsi="Times New Roman"/>
          <w:sz w:val="32"/>
          <w:szCs w:val="32"/>
        </w:rPr>
        <w:t>确保公开内容准确、完整、及时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，进一步提高公开质量</w:t>
      </w:r>
      <w:r>
        <w:rPr>
          <w:rFonts w:ascii="Times New Roman" w:eastAsia="方正仿宋_GBK" w:cs="Times New Roman" w:hAnsi="Times New Roman"/>
          <w:sz w:val="32"/>
          <w:szCs w:val="32"/>
        </w:rPr>
        <w:t>与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公众满意度。</w:t>
      </w:r>
    </w:p>
    <w:p>
      <w:pPr>
        <w:pStyle w:val="22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</w:p>
    <w:p>
      <w:pPr>
        <w:pStyle w:val="32"/>
        <w:adjustRightInd w:val="0"/>
        <w:snapToGrid w:val="0"/>
        <w:ind w:firstLineChars="200" w:firstLine="624"/>
      </w:pPr>
      <w:r>
        <w:rPr>
          <w:rFonts w:hint="eastAsia"/>
          <w:color w:val="333333"/>
          <w:shd w:val="clear" w:color="auto" w:fill="FFFFFF"/>
        </w:rPr>
        <w:t>本年度无收取信息处理费情况</w:t>
      </w:r>
      <w:r>
        <w:t>。</w:t>
      </w:r>
    </w:p>
    <w:sectPr>
      <w:pgSz w:w="11907" w:h="16840"/>
      <w:pgMar w:top="2098" w:right="1474" w:bottom="1985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等线">
    <w:altName w:val="华文仿宋"/>
    <w:panose1 w:val="00000000000000000000"/>
    <w:charset w:val="86"/>
    <w:family w:val="auto"/>
    <w:pitch w:val="variable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华文仿宋"/>
    <w:panose1 w:val="00000000000000000000"/>
    <w:charset w:val="86"/>
    <w:family w:val="auto"/>
    <w:pitch w:val="variable"/>
    <w:sig w:usb0="00000000" w:usb1="00000000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10"/>
  <w:doNotDisplayPageBoundaries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480" w:after="80"/>
      <w:outlineLvl w:val="0"/>
    </w:pPr>
    <w:rPr>
      <w:rFonts w:ascii="等线 Light" w:eastAsia="等线 Light" w:cs="Times New Roman"/>
      <w:color w:val="0F4761"/>
      <w:sz w:val="48"/>
      <w:szCs w:val="48"/>
    </w:rPr>
  </w:style>
  <w:style w:type="paragraph" w:styleId="2">
    <w:name w:val="heading 2"/>
    <w:basedOn w:val="0"/>
    <w:next w:val="0"/>
    <w:pPr>
      <w:keepNext/>
      <w:keepLines/>
      <w:widowControl w:val="0"/>
      <w:spacing w:before="160" w:after="80"/>
      <w:outlineLvl w:val="1"/>
    </w:pPr>
    <w:rPr>
      <w:rFonts w:ascii="等线 Light" w:eastAsia="等线 Light" w:cs="Times New Roman"/>
      <w:color w:val="0F4761"/>
      <w:sz w:val="40"/>
      <w:szCs w:val="40"/>
    </w:rPr>
  </w:style>
  <w:style w:type="paragraph" w:styleId="3">
    <w:name w:val="heading 3"/>
    <w:basedOn w:val="0"/>
    <w:next w:val="0"/>
    <w:pPr>
      <w:keepNext/>
      <w:keepLines/>
      <w:widowControl w:val="0"/>
      <w:spacing w:before="160" w:after="80"/>
      <w:outlineLvl w:val="2"/>
    </w:pPr>
    <w:rPr>
      <w:rFonts w:ascii="等线 Light" w:eastAsia="等线 Light" w:cs="Times New Roman"/>
      <w:color w:val="0F4761"/>
      <w:sz w:val="32"/>
      <w:szCs w:val="32"/>
    </w:rPr>
  </w:style>
  <w:style w:type="paragraph" w:styleId="4">
    <w:name w:val="heading 4"/>
    <w:basedOn w:val="0"/>
    <w:next w:val="0"/>
    <w:pPr>
      <w:keepNext/>
      <w:keepLines/>
      <w:widowControl w:val="0"/>
      <w:spacing w:before="80" w:after="40"/>
      <w:outlineLvl w:val="3"/>
    </w:pPr>
    <w:rPr>
      <w:rFonts w:cs="Times New Roman"/>
      <w:color w:val="0F4761"/>
      <w:sz w:val="28"/>
      <w:szCs w:val="28"/>
    </w:rPr>
  </w:style>
  <w:style w:type="paragraph" w:styleId="5">
    <w:name w:val="heading 5"/>
    <w:basedOn w:val="0"/>
    <w:next w:val="0"/>
    <w:pPr>
      <w:keepNext/>
      <w:keepLines/>
      <w:widowControl w:val="0"/>
      <w:spacing w:before="80" w:after="40"/>
      <w:outlineLvl w:val="4"/>
    </w:pPr>
    <w:rPr>
      <w:rFonts w:cs="Times New Roman"/>
      <w:color w:val="0F4761"/>
      <w:sz w:val="24"/>
    </w:rPr>
  </w:style>
  <w:style w:type="paragraph" w:styleId="6">
    <w:name w:val="heading 6"/>
    <w:basedOn w:val="0"/>
    <w:next w:val="0"/>
    <w:pPr>
      <w:keepNext/>
      <w:keepLines/>
      <w:widowControl w:val="0"/>
      <w:spacing w:before="40" w:after="0"/>
      <w:outlineLvl w:val="5"/>
    </w:pPr>
    <w:rPr>
      <w:rFonts w:cs="Times New Roman"/>
      <w:b/>
      <w:bCs/>
      <w:color w:val="0F4761"/>
    </w:rPr>
  </w:style>
  <w:style w:type="paragraph" w:styleId="7">
    <w:name w:val="heading 7"/>
    <w:basedOn w:val="0"/>
    <w:next w:val="0"/>
    <w:pPr>
      <w:keepNext/>
      <w:keepLines/>
      <w:widowControl w:val="0"/>
      <w:spacing w:before="40" w:after="0"/>
      <w:outlineLvl w:val="6"/>
    </w:pPr>
    <w:rPr>
      <w:rFonts w:cs="Times New Roman"/>
      <w:b/>
      <w:bCs/>
      <w:color w:val="595959"/>
    </w:rPr>
  </w:style>
  <w:style w:type="paragraph" w:styleId="8">
    <w:name w:val="heading 8"/>
    <w:basedOn w:val="0"/>
    <w:next w:val="0"/>
    <w:pPr>
      <w:keepNext/>
      <w:keepLines/>
      <w:widowControl w:val="0"/>
      <w:spacing w:after="0"/>
      <w:outlineLvl w:val="7"/>
    </w:pPr>
    <w:rPr>
      <w:rFonts w:cs="Times New Roman"/>
      <w:color w:val="595959"/>
    </w:rPr>
  </w:style>
  <w:style w:type="paragraph" w:styleId="9">
    <w:name w:val="heading 9"/>
    <w:basedOn w:val="0"/>
    <w:next w:val="0"/>
    <w:pPr>
      <w:keepNext/>
      <w:keepLines/>
      <w:widowControl w:val="0"/>
      <w:spacing w:after="0"/>
      <w:outlineLvl w:val="8"/>
    </w:pPr>
    <w:rPr>
      <w:rFonts w:eastAsia="等线 Light" w:cs="Times New Roman"/>
      <w:color w:val="595959"/>
    </w:rPr>
  </w:style>
  <w:style w:type="character" w:default="1" w:styleId="10">
    <w:name w:val="Default Paragraph Font"/>
  </w:style>
  <w:style w:type="paragraph" w:styleId="15">
    <w:name w:val="index 6"/>
    <w:basedOn w:val="0"/>
    <w:next w:val="0"/>
    <w:pPr>
      <w:ind w:leftChars="1000" w:left="1000"/>
    </w:pPr>
  </w:style>
  <w:style w:type="paragraph" w:styleId="16">
    <w:name w:val="toc 5"/>
    <w:basedOn w:val="0"/>
    <w:next w:val="0"/>
    <w:pPr>
      <w:ind w:left="1680"/>
    </w:p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8">
    <w:name w:val="header"/>
    <w:basedOn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9">
    <w:name w:val="Subtitle"/>
    <w:basedOn w:val="0"/>
    <w:next w:val="0"/>
    <w:pPr>
      <w:jc w:val="center"/>
    </w:pPr>
    <w:rPr>
      <w:rFonts w:ascii="等线 Light" w:eastAsia="等线 Light" w:cs="Times New Roman"/>
      <w:color w:val="595959"/>
      <w:spacing w:val="15"/>
      <w:sz w:val="28"/>
      <w:szCs w:val="28"/>
    </w:rPr>
  </w:style>
  <w:style w:type="paragraph" w:styleId="20">
    <w:name w:val="index 7"/>
    <w:basedOn w:val="0"/>
    <w:next w:val="0"/>
    <w:pPr>
      <w:ind w:leftChars="1200" w:left="1200"/>
    </w:pPr>
  </w:style>
  <w:style w:type="paragraph" w:styleId="21">
    <w:name w:val="toc 2"/>
    <w:basedOn w:val="0"/>
    <w:next w:val="0"/>
    <w:pPr>
      <w:ind w:leftChars="200" w:left="200"/>
    </w:pPr>
  </w:style>
  <w:style w:type="paragraph" w:styleId="22">
    <w:name w:val="Normal (Web)"/>
    <w:next w:val="17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styleId="23">
    <w:name w:val="Title"/>
    <w:basedOn w:val="0"/>
    <w:next w:val="0"/>
    <w:pPr>
      <w:spacing w:after="80" w:line="240" w:lineRule="auto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paragraph" w:customStyle="1" w:styleId="24">
    <w:name w:val="引用1"/>
    <w:basedOn w:val="0"/>
    <w:next w:val="0"/>
    <w:pPr>
      <w:spacing w:before="160"/>
      <w:jc w:val="center"/>
    </w:pPr>
    <w:rPr>
      <w:i/>
      <w:iCs/>
      <w:color w:val="404040"/>
    </w:rPr>
  </w:style>
  <w:style w:type="paragraph" w:customStyle="1" w:styleId="25">
    <w:name w:val="列出段落1"/>
    <w:basedOn w:val="0"/>
    <w:pPr>
      <w:ind w:left="720"/>
      <w:contextualSpacing/>
    </w:pPr>
  </w:style>
  <w:style w:type="character" w:customStyle="1" w:styleId="26">
    <w:name w:val="明显强调1"/>
    <w:basedOn w:val="10"/>
    <w:rPr>
      <w:i/>
      <w:iCs/>
      <w:color w:val="0F4761"/>
    </w:rPr>
  </w:style>
  <w:style w:type="paragraph" w:customStyle="1" w:styleId="27">
    <w:name w:val="明显引用1"/>
    <w:basedOn w:val="0"/>
    <w:next w:val="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28">
    <w:name w:val="明显参考1"/>
    <w:basedOn w:val="10"/>
    <w:rPr>
      <w:b/>
      <w:bCs/>
      <w:caps w:val="0"/>
      <w:smallCaps/>
      <w:color w:val="0F4761"/>
      <w:spacing w:val="5"/>
    </w:rPr>
  </w:style>
  <w:style w:type="paragraph" w:customStyle="1" w:styleId="29">
    <w:name w:val="样式 小三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">
    <w:name w:val="样式 50 三号"/>
    <w:next w:val="15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1">
    <w:name w:val="样式 13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2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3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4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41">
    <w:name w:val="样式 9 小三"/>
    <w:pPr>
      <w:widowControl w:val="0"/>
      <w:spacing w:line="560" w:lineRule="exact"/>
      <w:ind w:firstLineChars="200" w:firstLine="200"/>
      <w:jc w:val="both"/>
    </w:pPr>
    <w:rPr>
      <w:rFonts w:ascii="Calibri" w:eastAsia="方正仿宋_GBK" w:cs="Times New Roman" w:hAnsi="Calibri"/>
      <w:kern w:val="2"/>
      <w:sz w:val="30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91</TotalTime>
  <Application>Yozo_Office</Application>
  <Pages>6</Pages>
  <Words>2398</Words>
  <Characters>2445</Characters>
  <Lines>426</Lines>
  <Paragraphs>304</Paragraphs>
  <CharactersWithSpaces>2445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KF5438</dc:creator>
  <cp:lastModifiedBy>蔡润</cp:lastModifiedBy>
  <cp:revision>20</cp:revision>
  <cp:lastPrinted>2026-01-16T07:52:00Z</cp:lastPrinted>
  <dcterms:created xsi:type="dcterms:W3CDTF">2026-01-16T06:28:00Z</dcterms:created>
  <dcterms:modified xsi:type="dcterms:W3CDTF">2026-01-28T06:42:02Z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2052-11.8.2.1118</vt:lpwstr>
  </property>
  <property fmtid="{D5CDD505-2E9C-101B-9397-08002B2CF9AE}" pid="3" name="ICV">
    <vt:lpwstr>4C5AB535194E3BD17A1C5F699A2ED54F</vt:lpwstr>
  </property>
</Properties>
</file>