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spacing w:before="480" w:after="480" w:line="288" w:lineRule="auto"/>
        <w:ind w:left="0"/>
        <w:jc w:val="center"/>
      </w:pPr>
      <w:bookmarkStart w:id="0" w:name="_GoBack"/>
      <w:bookmarkEnd w:id="0"/>
      <w:r>
        <w:rPr>
          <w:rFonts w:ascii="Arial" w:eastAsia="等线" w:cs="Arial" w:hAnsi="Arial"/>
          <w:b/>
          <w:sz w:val="52"/>
        </w:rPr>
        <w:t>采购询价单</w:t>
      </w:r>
    </w:p>
    <w:p>
      <w:pPr>
        <w:spacing w:before="120" w:after="120" w:line="288" w:lineRule="auto"/>
        <w:ind w:left="0"/>
        <w:jc w:val="left"/>
        <w:rPr>
          <w:rFonts w:ascii="方正仿宋_GBK" w:eastAsia="方正仿宋_GBK" w:cs="方正仿宋_GBK" w:hint="eastAsia"/>
          <w:b w:val="0"/>
          <w:bCs/>
          <w:sz w:val="32"/>
          <w:szCs w:val="32"/>
        </w:rPr>
      </w:pPr>
    </w:p>
    <w:p>
      <w:pPr>
        <w:spacing w:before="120" w:after="120" w:line="288" w:lineRule="auto"/>
        <w:ind w:left="0"/>
        <w:jc w:val="left"/>
        <w:rPr>
          <w:rFonts w:ascii="方正仿宋_GBK" w:eastAsia="方正仿宋_GBK" w:cs="方正仿宋_GBK" w:hint="eastAsia"/>
          <w:b w:val="0"/>
          <w:bCs/>
          <w:sz w:val="32"/>
          <w:szCs w:val="32"/>
        </w:rPr>
      </w:pPr>
      <w:r>
        <w:rPr>
          <w:rFonts w:ascii="方正仿宋_GBK" w:eastAsia="方正仿宋_GBK" w:cs="方正仿宋_GBK"/>
          <w:b w:val="0"/>
          <w:bCs/>
          <w:sz w:val="32"/>
          <w:szCs w:val="32"/>
        </w:rPr>
        <w:t>报价</w:t>
      </w:r>
      <w:r>
        <w:rPr>
          <w:rFonts w:ascii="方正仿宋_GBK" w:eastAsia="方正仿宋_GBK" w:cs="方正仿宋_GBK" w:hint="eastAsia"/>
          <w:b w:val="0"/>
          <w:bCs/>
          <w:sz w:val="32"/>
          <w:szCs w:val="32"/>
        </w:rPr>
        <w:t>日期：______年____月____日</w:t>
      </w:r>
    </w:p>
    <w:p>
      <w:pPr>
        <w:spacing w:before="120" w:after="120" w:line="288" w:lineRule="auto"/>
        <w:ind w:left="0"/>
        <w:jc w:val="left"/>
        <w:rPr>
          <w:rFonts w:ascii="方正仿宋_GBK" w:eastAsia="方正仿宋_GBK" w:cs="方正仿宋_GBK" w:hint="eastAsia"/>
          <w:b w:val="0"/>
          <w:bCs/>
          <w:sz w:val="32"/>
          <w:szCs w:val="32"/>
          <w:u w:val="single"/>
        </w:rPr>
      </w:pPr>
      <w:r>
        <w:rPr>
          <w:rFonts w:ascii="方正仿宋_GBK" w:eastAsia="方正仿宋_GBK" w:cs="方正仿宋_GBK" w:hint="eastAsia"/>
          <w:b w:val="0"/>
          <w:bCs/>
          <w:sz w:val="32"/>
          <w:szCs w:val="32"/>
        </w:rPr>
        <w:t>询价单位（甲方）：</w:t>
      </w:r>
      <w:r>
        <w:rPr>
          <w:rFonts w:ascii="方正仿宋_GBK" w:eastAsia="方正仿宋_GBK" w:cs="方正仿宋_GBK" w:hint="eastAsia"/>
          <w:b w:val="0"/>
          <w:bCs/>
          <w:sz w:val="32"/>
          <w:szCs w:val="32"/>
          <w:u w:val="single"/>
          <w:lang w:val="en-US" w:eastAsia="zh-CN"/>
        </w:rPr>
        <w:t>二连海关缉私分局</w:t>
      </w:r>
    </w:p>
    <w:p>
      <w:pPr>
        <w:spacing w:before="120" w:after="120" w:line="288" w:lineRule="auto"/>
        <w:ind w:left="0"/>
        <w:jc w:val="left"/>
        <w:rPr>
          <w:rFonts w:ascii="方正仿宋_GBK" w:eastAsia="方正仿宋_GBK" w:cs="方正仿宋_GBK"/>
          <w:b w:val="0"/>
          <w:bCs/>
          <w:sz w:val="32"/>
          <w:szCs w:val="32"/>
          <w:u w:val="single"/>
          <w:lang w:val="en-US" w:eastAsia="zh-CN"/>
        </w:rPr>
      </w:pPr>
      <w:r>
        <w:rPr>
          <w:rFonts w:ascii="方正仿宋_GBK" w:eastAsia="方正仿宋_GBK" w:cs="方正仿宋_GBK" w:hint="eastAsia"/>
          <w:b w:val="0"/>
          <w:bCs/>
          <w:sz w:val="32"/>
          <w:szCs w:val="32"/>
        </w:rPr>
        <w:t>联系地址：</w:t>
      </w:r>
      <w:r>
        <w:rPr>
          <w:rFonts w:ascii="方正仿宋_GBK" w:eastAsia="方正仿宋_GBK" w:cs="方正仿宋_GBK" w:hint="eastAsia"/>
          <w:b w:val="0"/>
          <w:bCs/>
          <w:sz w:val="32"/>
          <w:szCs w:val="32"/>
          <w:u w:val="single"/>
          <w:lang w:val="en-US" w:eastAsia="zh-CN"/>
        </w:rPr>
        <w:t>内蒙古自治区锡林郭勒盟二连浩特市二连海关办公楼（新华大街西</w:t>
      </w:r>
      <w:r>
        <w:rPr>
          <w:rFonts w:ascii="Times New Roman" w:eastAsia="方正仿宋_GBK" w:cs="Times New Roman" w:hAnsi="Times New Roman"/>
          <w:b w:val="0"/>
          <w:bCs/>
          <w:sz w:val="32"/>
          <w:szCs w:val="32"/>
          <w:u w:val="single"/>
          <w:lang w:val="en-US" w:eastAsia="zh-CN"/>
        </w:rPr>
        <w:t>02188号</w:t>
      </w:r>
      <w:r>
        <w:rPr>
          <w:rFonts w:ascii="方正仿宋_GBK" w:eastAsia="方正仿宋_GBK" w:cs="方正仿宋_GBK" w:hint="eastAsia"/>
          <w:b w:val="0"/>
          <w:bCs/>
          <w:sz w:val="32"/>
          <w:szCs w:val="32"/>
          <w:u w:val="single"/>
          <w:lang w:val="en-US" w:eastAsia="zh-CN"/>
        </w:rPr>
        <w:t>）</w:t>
      </w:r>
    </w:p>
    <w:p>
      <w:pPr>
        <w:spacing w:before="120" w:after="120" w:line="288" w:lineRule="auto"/>
        <w:ind w:left="0"/>
        <w:jc w:val="left"/>
        <w:rPr>
          <w:rFonts w:ascii="方正仿宋_GBK" w:eastAsia="方正仿宋_GBK" w:cs="方正仿宋_GBK" w:hint="eastAsia"/>
          <w:b w:val="0"/>
          <w:bCs/>
          <w:sz w:val="32"/>
          <w:szCs w:val="32"/>
          <w:u w:val="single"/>
          <w:lang w:val="en-US" w:eastAsia="zh-CN"/>
        </w:rPr>
      </w:pPr>
      <w:r>
        <w:rPr>
          <w:rFonts w:ascii="方正仿宋_GBK" w:eastAsia="方正仿宋_GBK" w:cs="方正仿宋_GBK" w:hint="eastAsia"/>
          <w:b w:val="0"/>
          <w:bCs/>
          <w:sz w:val="32"/>
          <w:szCs w:val="32"/>
        </w:rPr>
        <w:t>联系人：</w:t>
      </w:r>
      <w:r>
        <w:rPr>
          <w:rFonts w:ascii="方正仿宋_GBK" w:eastAsia="方正仿宋_GBK" w:cs="方正仿宋_GBK" w:hint="eastAsia"/>
          <w:b w:val="0"/>
          <w:bCs/>
          <w:sz w:val="32"/>
          <w:szCs w:val="32"/>
          <w:u w:val="single"/>
          <w:lang w:val="en-US" w:eastAsia="zh-CN"/>
        </w:rPr>
        <w:t>张</w:t>
      </w:r>
      <w:r>
        <w:rPr>
          <w:rFonts w:ascii="方正仿宋_GBK" w:eastAsia="方正仿宋_GBK" w:cs="方正仿宋_GBK"/>
          <w:b w:val="0"/>
          <w:bCs/>
          <w:sz w:val="32"/>
          <w:szCs w:val="32"/>
          <w:u w:val="single"/>
          <w:lang w:val="en-US" w:eastAsia="zh-CN"/>
        </w:rPr>
        <w:t>先生</w:t>
      </w:r>
    </w:p>
    <w:p>
      <w:pPr>
        <w:spacing w:before="120" w:after="120" w:line="288" w:lineRule="auto"/>
        <w:ind w:left="0"/>
        <w:jc w:val="left"/>
        <w:rPr>
          <w:rFonts w:ascii="方正仿宋_GBK" w:eastAsia="方正仿宋_GBK" w:cs="方正仿宋_GBK"/>
          <w:b w:val="0"/>
          <w:bCs/>
          <w:sz w:val="32"/>
          <w:szCs w:val="32"/>
          <w:u w:val="single"/>
          <w:lang w:val="en-US" w:eastAsia="zh-CN"/>
        </w:rPr>
      </w:pPr>
      <w:r>
        <w:rPr>
          <w:rFonts w:ascii="方正仿宋_GBK" w:eastAsia="方正仿宋_GBK" w:cs="方正仿宋_GBK" w:hint="eastAsia"/>
          <w:b w:val="0"/>
          <w:bCs/>
          <w:sz w:val="32"/>
          <w:szCs w:val="32"/>
        </w:rPr>
        <w:t>联系电话：</w:t>
      </w:r>
      <w:r>
        <w:rPr>
          <w:rFonts w:ascii="方正仿宋_GBK" w:eastAsia="方正仿宋_GBK" w:cs="方正仿宋_GBK" w:hint="eastAsia"/>
          <w:b w:val="0"/>
          <w:bCs/>
          <w:sz w:val="32"/>
          <w:szCs w:val="32"/>
          <w:u w:val="single"/>
          <w:lang w:val="en-US" w:eastAsia="zh-CN"/>
        </w:rPr>
        <w:t>19847852053</w:t>
      </w:r>
    </w:p>
    <w:p>
      <w:pPr>
        <w:spacing w:before="120" w:after="120" w:line="288" w:lineRule="auto"/>
        <w:ind w:left="0"/>
        <w:jc w:val="left"/>
        <w:rPr>
          <w:rFonts w:ascii="方正仿宋_GBK" w:eastAsia="方正仿宋_GBK" w:cs="方正仿宋_GBK" w:hint="eastAsia"/>
          <w:b w:val="0"/>
          <w:bCs/>
          <w:sz w:val="32"/>
          <w:szCs w:val="32"/>
          <w:u w:val="single"/>
          <w:lang w:val="en-US" w:eastAsia="zh-CN"/>
        </w:rPr>
      </w:pPr>
      <w:r>
        <w:rPr>
          <w:rFonts w:ascii="方正仿宋_GBK" w:eastAsia="方正仿宋_GBK" w:cs="方正仿宋_GBK" w:hint="eastAsia"/>
          <w:b w:val="0"/>
          <w:bCs/>
          <w:sz w:val="32"/>
          <w:szCs w:val="32"/>
        </w:rPr>
        <w:t>电子邮箱：</w:t>
      </w:r>
      <w:r>
        <w:rPr>
          <w:rStyle w:val="16"/>
          <w:rFonts w:ascii="方正仿宋_GBK" w:eastAsia="方正仿宋_GBK" w:cs="方正仿宋_GBK" w:hint="eastAsia"/>
          <w:b w:val="0"/>
          <w:bCs/>
          <w:sz w:val="32"/>
          <w:szCs w:val="32"/>
          <w:lang w:val="en-US" w:eastAsia="zh-CN"/>
        </w:rPr>
        <w:fldChar w:fldCharType="begin"/>
      </w:r>
      <w:r>
        <w:instrText>HYPERLINK "mailto:16008735554@qq.com"</w:instrText>
      </w:r>
      <w:r>
        <w:rPr>
          <w:rStyle w:val="16"/>
          <w:rFonts w:ascii="方正仿宋_GBK" w:eastAsia="方正仿宋_GBK" w:cs="方正仿宋_GBK" w:hint="eastAsia"/>
          <w:b w:val="0"/>
          <w:bCs/>
          <w:sz w:val="32"/>
          <w:szCs w:val="32"/>
          <w:lang w:val="en-US" w:eastAsia="zh-CN"/>
        </w:rPr>
        <w:fldChar w:fldCharType="separate"/>
      </w:r>
      <w:r>
        <w:rPr>
          <w:rStyle w:val="16"/>
          <w:rFonts w:ascii="方正仿宋_GBK" w:eastAsia="方正仿宋_GBK" w:cs="方正仿宋_GBK" w:hint="eastAsia"/>
          <w:b w:val="0"/>
          <w:bCs/>
          <w:sz w:val="32"/>
          <w:szCs w:val="32"/>
          <w:lang w:val="en-US" w:eastAsia="zh-CN"/>
        </w:rPr>
        <w:t>1608735554@qq.com</w:t>
      </w:r>
      <w:r>
        <w:rPr>
          <w:rStyle w:val="16"/>
          <w:rFonts w:ascii="方正仿宋_GBK" w:eastAsia="方正仿宋_GBK" w:cs="方正仿宋_GBK" w:hint="eastAsia"/>
          <w:b w:val="0"/>
          <w:bCs/>
          <w:sz w:val="32"/>
          <w:szCs w:val="32"/>
          <w:lang w:val="en-US" w:eastAsia="zh-CN"/>
        </w:rPr>
        <w:fldChar w:fldCharType="end"/>
      </w:r>
    </w:p>
    <w:p>
      <w:pPr>
        <w:spacing w:before="120" w:after="120" w:line="288" w:lineRule="auto"/>
        <w:ind w:left="0"/>
        <w:jc w:val="left"/>
        <w:rPr>
          <w:rFonts w:ascii="方正仿宋_GBK" w:eastAsia="方正仿宋_GBK" w:cs="方正仿宋_GBK" w:hint="eastAsia"/>
          <w:b w:val="0"/>
          <w:bCs/>
          <w:color w:val="FF0000"/>
          <w:sz w:val="32"/>
          <w:szCs w:val="32"/>
        </w:rPr>
      </w:pPr>
      <w:r>
        <w:rPr>
          <w:rFonts w:ascii="方正仿宋_GBK" w:eastAsia="方正仿宋_GBK" w:cs="方正仿宋_GBK" w:hint="eastAsia"/>
          <w:b w:val="0"/>
          <w:bCs/>
          <w:color w:val="FF0000"/>
          <w:sz w:val="32"/>
          <w:szCs w:val="32"/>
        </w:rPr>
        <w:t>报价单位（乙方）：</w:t>
      </w:r>
      <w:r>
        <w:rPr>
          <w:rFonts w:ascii="方正仿宋_GBK" w:eastAsia="方正仿宋_GBK" w:cs="方正仿宋_GBK" w:hint="eastAsia"/>
          <w:b w:val="0"/>
          <w:bCs/>
          <w:color w:val="FF0000"/>
          <w:sz w:val="32"/>
          <w:szCs w:val="32"/>
          <w:u w:val="single"/>
          <w:lang w:val="en-US" w:eastAsia="zh-CN"/>
        </w:rPr>
        <w:t xml:space="preserve">                                    </w:t>
      </w:r>
      <w:r>
        <w:rPr>
          <w:rFonts w:ascii="方正仿宋_GBK" w:eastAsia="方正仿宋_GBK" w:cs="方正仿宋_GBK" w:hint="eastAsia"/>
          <w:b w:val="0"/>
          <w:bCs/>
          <w:color w:val="FF0000"/>
          <w:sz w:val="32"/>
          <w:szCs w:val="32"/>
        </w:rPr>
        <w:t>统一社会信用代码：</w:t>
      </w:r>
    </w:p>
    <w:p>
      <w:pPr>
        <w:spacing w:before="120" w:after="120" w:line="288" w:lineRule="auto"/>
        <w:ind w:left="0"/>
        <w:jc w:val="left"/>
        <w:rPr>
          <w:rFonts w:ascii="方正仿宋_GBK" w:eastAsia="方正仿宋_GBK" w:cs="方正仿宋_GBK" w:hint="eastAsia"/>
          <w:b w:val="0"/>
          <w:bCs/>
          <w:color w:val="FF0000"/>
          <w:sz w:val="32"/>
          <w:szCs w:val="32"/>
        </w:rPr>
      </w:pPr>
      <w:r>
        <w:rPr>
          <w:rFonts w:ascii="方正仿宋_GBK" w:eastAsia="方正仿宋_GBK" w:cs="方正仿宋_GBK" w:hint="eastAsia"/>
          <w:b w:val="0"/>
          <w:bCs/>
          <w:color w:val="FF0000"/>
          <w:sz w:val="32"/>
          <w:szCs w:val="32"/>
        </w:rPr>
        <w:t>联系地址：</w:t>
      </w:r>
    </w:p>
    <w:p>
      <w:pPr>
        <w:spacing w:before="120" w:after="120" w:line="288" w:lineRule="auto"/>
        <w:ind w:left="0"/>
        <w:jc w:val="left"/>
        <w:rPr>
          <w:rFonts w:ascii="方正仿宋_GBK" w:eastAsia="方正仿宋_GBK" w:cs="方正仿宋_GBK" w:hint="eastAsia"/>
          <w:b w:val="0"/>
          <w:bCs/>
          <w:color w:val="FF0000"/>
          <w:sz w:val="32"/>
          <w:szCs w:val="32"/>
        </w:rPr>
      </w:pPr>
      <w:r>
        <w:rPr>
          <w:rFonts w:ascii="方正仿宋_GBK" w:eastAsia="方正仿宋_GBK" w:cs="方正仿宋_GBK" w:hint="eastAsia"/>
          <w:b w:val="0"/>
          <w:bCs/>
          <w:color w:val="FF0000"/>
          <w:sz w:val="32"/>
          <w:szCs w:val="32"/>
        </w:rPr>
        <w:t>联系人/电话：</w:t>
      </w:r>
    </w:p>
    <w:p>
      <w:pPr>
        <w:spacing w:before="120" w:after="120" w:line="288" w:lineRule="auto"/>
        <w:ind w:left="0"/>
        <w:jc w:val="left"/>
        <w:rPr>
          <w:rFonts w:ascii="方正仿宋_GBK" w:eastAsia="方正仿宋_GBK" w:cs="方正仿宋_GBK" w:hint="eastAsia"/>
          <w:b w:val="0"/>
          <w:bCs/>
          <w:color w:val="FF0000"/>
          <w:sz w:val="32"/>
          <w:szCs w:val="32"/>
        </w:rPr>
      </w:pPr>
      <w:r>
        <w:rPr>
          <w:rFonts w:ascii="方正仿宋_GBK" w:eastAsia="方正仿宋_GBK" w:cs="方正仿宋_GBK" w:hint="eastAsia"/>
          <w:b w:val="0"/>
          <w:bCs/>
          <w:color w:val="FF0000"/>
          <w:sz w:val="32"/>
          <w:szCs w:val="32"/>
        </w:rPr>
        <w:t>开票信息：</w:t>
      </w:r>
    </w:p>
    <w:p>
      <w:pPr>
        <w:spacing w:before="300" w:after="120" w:line="288" w:lineRule="auto"/>
        <w:ind w:left="0"/>
        <w:jc w:val="left"/>
        <w:outlineLvl w:val="2"/>
        <w:rPr>
          <w:rFonts w:ascii="黑体" w:eastAsia="黑体" w:cs="黑体" w:hint="eastAsia"/>
          <w:b w:val="0"/>
          <w:bCs/>
          <w:sz w:val="30"/>
        </w:rPr>
      </w:pPr>
      <w:bookmarkStart w:id="1" w:name="heading_0"/>
    </w:p>
    <w:p>
      <w:pPr>
        <w:spacing w:before="300" w:after="120" w:line="288" w:lineRule="auto"/>
        <w:ind w:left="0"/>
        <w:jc w:val="left"/>
        <w:outlineLvl w:val="2"/>
        <w:rPr>
          <w:rFonts w:ascii="黑体" w:eastAsia="黑体" w:cs="黑体" w:hint="eastAsia"/>
          <w:b w:val="0"/>
          <w:bCs/>
          <w:sz w:val="30"/>
        </w:rPr>
      </w:pPr>
    </w:p>
    <w:p>
      <w:pPr>
        <w:spacing w:before="300" w:after="120" w:line="288" w:lineRule="auto"/>
        <w:ind w:left="0"/>
        <w:jc w:val="left"/>
        <w:outlineLvl w:val="2"/>
        <w:rPr>
          <w:rFonts w:ascii="黑体" w:eastAsia="黑体" w:cs="黑体" w:hint="eastAsia"/>
          <w:b w:val="0"/>
          <w:bCs/>
          <w:sz w:val="30"/>
        </w:rPr>
      </w:pPr>
    </w:p>
    <w:p>
      <w:pPr>
        <w:spacing w:before="300" w:after="120" w:line="288" w:lineRule="auto"/>
        <w:ind w:left="0"/>
        <w:jc w:val="left"/>
        <w:outlineLvl w:val="2"/>
        <w:rPr>
          <w:rFonts w:ascii="黑体" w:eastAsia="黑体" w:cs="黑体" w:hint="eastAsia"/>
          <w:b w:val="0"/>
          <w:bCs/>
          <w:sz w:val="30"/>
        </w:rPr>
      </w:pPr>
    </w:p>
    <w:p>
      <w:pPr>
        <w:spacing w:before="300" w:after="120" w:line="288" w:lineRule="auto"/>
        <w:ind w:left="0"/>
        <w:jc w:val="left"/>
        <w:outlineLvl w:val="2"/>
        <w:rPr>
          <w:rFonts w:ascii="黑体" w:eastAsia="黑体" w:cs="黑体" w:hint="eastAsia"/>
          <w:b w:val="0"/>
          <w:bCs/>
          <w:color w:val="FF0000"/>
        </w:rPr>
      </w:pPr>
      <w:r>
        <w:rPr>
          <w:rFonts w:ascii="黑体" w:eastAsia="黑体" w:cs="黑体" w:hint="eastAsia"/>
          <w:b w:val="0"/>
          <w:bCs/>
          <w:color w:val="FF0000"/>
          <w:sz w:val="30"/>
        </w:rPr>
        <w:t>一、询价采购内容（货物/服务通用）</w:t>
      </w:r>
      <w:bookmarkEnd w:id="1"/>
    </w:p>
    <w:tbl>
      <w:tblPr>
        <w:jc w:val="left"/>
        <w:tblInd w:w="0" w:type="dxa"/>
        <w:tblBorders>
          <w:top w:val="single" w:sz="2" w:space="0" w:color="DEE0E3"/>
          <w:left w:val="single" w:sz="2" w:space="0" w:color="DEE0E3"/>
          <w:bottom w:val="single" w:sz="2" w:space="0" w:color="DEE0E3"/>
          <w:right w:val="single" w:sz="2" w:space="0" w:color="DEE0E3"/>
          <w:insideH w:val="single" w:sz="2" w:space="0" w:color="DEE0E3"/>
          <w:insideV w:val="single" w:sz="2" w:space="0" w:color="DEE0E3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15"/>
        <w:gridCol w:w="915"/>
        <w:gridCol w:w="915"/>
        <w:gridCol w:w="915"/>
        <w:gridCol w:w="915"/>
        <w:gridCol w:w="915"/>
        <w:gridCol w:w="915"/>
        <w:gridCol w:w="915"/>
      </w:tblGrid>
      <w:tr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序号</w:t>
            </w: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名称</w:t>
            </w: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规格/型号/服务标准</w:t>
            </w: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单位</w:t>
            </w: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数量</w:t>
            </w: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含税单价（元）</w:t>
            </w: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含税总价（元）</w:t>
            </w: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备注</w:t>
            </w:r>
          </w:p>
        </w:tc>
      </w:tr>
      <w:tr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</w:tr>
      <w:tr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</w:tr>
      <w:tr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</w:tr>
      <w:tr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</w:tr>
      <w:tr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</w:tr>
      <w:tr>
        <w:tc>
          <w:tcPr>
            <w:tcW w:w="3660" w:type="dxa"/>
            <w:gridSpan w:val="4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b/>
                <w:sz w:val="28"/>
                <w:szCs w:val="28"/>
              </w:rPr>
              <w:t>合计总价（含税）</w:t>
            </w:r>
          </w:p>
        </w:tc>
        <w:tc>
          <w:tcPr>
            <w:tcW w:w="3660" w:type="dxa"/>
            <w:gridSpan w:val="4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b/>
                <w:sz w:val="28"/>
                <w:szCs w:val="28"/>
              </w:rPr>
              <w:t>¥：</w:t>
            </w:r>
          </w:p>
        </w:tc>
      </w:tr>
    </w:tbl>
    <w:p>
      <w:pPr>
        <w:spacing w:before="120" w:after="120" w:line="288" w:lineRule="auto"/>
        <w:ind w:left="0"/>
        <w:jc w:val="left"/>
      </w:pPr>
      <w:r>
        <w:rPr>
          <w:rFonts w:ascii="方正仿宋_GBK" w:eastAsia="方正仿宋_GBK" w:cs="方正仿宋_GBK" w:hint="eastAsia"/>
          <w:sz w:val="22"/>
        </w:rPr>
        <w:t>补充说明：若为服务类采购，需在「规格/型号/服务标准」栏详细填写服务内容、服务周期、服务范围等相关要求</w:t>
      </w:r>
      <w:r>
        <w:rPr>
          <w:rFonts w:ascii="方正仿宋_GBK" w:eastAsia="方正仿宋_GBK" w:cs="方正仿宋_GBK"/>
          <w:sz w:val="22"/>
        </w:rPr>
        <w:t>；若为货物类采购，总价则包含安装调试等费用</w:t>
      </w:r>
      <w:r>
        <w:rPr>
          <w:rFonts w:ascii="方正仿宋_GBK" w:eastAsia="方正仿宋_GBK" w:cs="方正仿宋_GBK" w:hint="eastAsia"/>
          <w:sz w:val="22"/>
        </w:rPr>
        <w:t>。</w:t>
      </w:r>
    </w:p>
    <w:p>
      <w:pPr>
        <w:spacing w:before="300" w:after="120" w:line="288" w:lineRule="auto"/>
        <w:ind w:left="0"/>
        <w:jc w:val="left"/>
        <w:outlineLvl w:val="2"/>
        <w:rPr>
          <w:rFonts w:ascii="黑体" w:eastAsia="黑体" w:cs="黑体" w:hint="eastAsia"/>
          <w:b w:val="0"/>
          <w:bCs/>
          <w:sz w:val="32"/>
          <w:szCs w:val="32"/>
        </w:rPr>
      </w:pPr>
      <w:bookmarkStart w:id="2" w:name="heading_1"/>
      <w:r>
        <w:rPr>
          <w:rFonts w:ascii="黑体" w:eastAsia="黑体" w:cs="黑体" w:hint="eastAsia"/>
          <w:b w:val="0"/>
          <w:bCs/>
          <w:sz w:val="32"/>
          <w:szCs w:val="32"/>
        </w:rPr>
        <w:t>二、报价要求</w:t>
      </w:r>
      <w:bookmarkEnd w:id="2"/>
    </w:p>
    <w:p>
      <w:pPr>
        <w:numPr>
          <w:ilvl w:val="0"/>
          <w:numId w:val="1"/>
        </w:numPr>
        <w:spacing w:before="120" w:after="120" w:line="288" w:lineRule="auto"/>
        <w:ind w:left="0"/>
        <w:jc w:val="left"/>
        <w:rPr>
          <w:rFonts w:ascii="方正仿宋_GBK" w:eastAsia="方正仿宋_GBK" w:cs="方正仿宋_GBK" w:hint="eastAsia"/>
          <w:b w:val="0"/>
          <w:bCs w:val="0"/>
          <w:sz w:val="32"/>
          <w:szCs w:val="32"/>
        </w:rPr>
      </w:pPr>
      <w:r>
        <w:rPr>
          <w:rFonts w:ascii="方正仿宋_GBK" w:eastAsia="方正仿宋_GBK" w:cs="方正仿宋_GBK" w:hint="eastAsia"/>
          <w:b w:val="0"/>
          <w:bCs w:val="0"/>
          <w:sz w:val="32"/>
          <w:szCs w:val="32"/>
        </w:rPr>
        <w:t>本次报价为含税、含运费、含安装、含售后全包最终价格（无隐形费用），税率、发票类型需如实填写。</w:t>
      </w:r>
    </w:p>
    <w:p>
      <w:pPr>
        <w:numPr>
          <w:ilvl w:val="0"/>
          <w:numId w:val="2"/>
        </w:numPr>
        <w:spacing w:before="120" w:after="120" w:line="288" w:lineRule="auto"/>
        <w:ind w:left="0"/>
        <w:jc w:val="left"/>
        <w:rPr>
          <w:rFonts w:ascii="方正仿宋_GBK" w:eastAsia="方正仿宋_GBK" w:cs="方正仿宋_GBK" w:hint="eastAsia"/>
          <w:b w:val="0"/>
          <w:bCs w:val="0"/>
          <w:sz w:val="32"/>
          <w:szCs w:val="32"/>
        </w:rPr>
      </w:pPr>
      <w:r>
        <w:rPr>
          <w:rFonts w:ascii="方正仿宋_GBK" w:eastAsia="方正仿宋_GBK" w:cs="方正仿宋_GBK" w:hint="eastAsia"/>
          <w:b w:val="0"/>
          <w:bCs w:val="0"/>
          <w:sz w:val="32"/>
          <w:szCs w:val="32"/>
        </w:rPr>
        <w:t>报价单位需具备对应供货/服务资质，保证所供货物为全新正品、合规合格，服务符合国家行业标准及甲方使用要求。</w:t>
      </w:r>
    </w:p>
    <w:p>
      <w:pPr>
        <w:numPr>
          <w:ilvl w:val="0"/>
          <w:numId w:val="3"/>
        </w:numPr>
        <w:spacing w:before="120" w:after="120" w:line="288" w:lineRule="auto"/>
        <w:ind w:left="0"/>
        <w:jc w:val="left"/>
        <w:rPr>
          <w:rFonts w:ascii="方正仿宋_GBK" w:eastAsia="方正仿宋_GBK" w:cs="方正仿宋_GBK" w:hint="eastAsia"/>
          <w:b w:val="0"/>
          <w:bCs w:val="0"/>
          <w:sz w:val="32"/>
          <w:szCs w:val="32"/>
        </w:rPr>
      </w:pPr>
      <w:r>
        <w:rPr>
          <w:rFonts w:ascii="方正仿宋_GBK" w:eastAsia="方正仿宋_GBK" w:cs="方正仿宋_GBK" w:hint="eastAsia"/>
          <w:b w:val="0"/>
          <w:bCs w:val="0"/>
          <w:sz w:val="32"/>
          <w:szCs w:val="32"/>
        </w:rPr>
        <w:t>报价一经提交，在询价有效期内不得擅自更改，逾期未报价视为自动放弃本次询价资格。</w:t>
      </w:r>
    </w:p>
    <w:p>
      <w:pPr>
        <w:numPr>
          <w:ilvl w:val="0"/>
          <w:numId w:val="4"/>
        </w:numPr>
        <w:spacing w:before="120" w:after="120" w:line="288" w:lineRule="auto"/>
        <w:ind w:left="0"/>
        <w:jc w:val="left"/>
        <w:rPr>
          <w:rFonts w:ascii="方正仿宋_GBK" w:eastAsia="方正仿宋_GBK" w:cs="方正仿宋_GBK" w:hint="eastAsia"/>
          <w:b w:val="0"/>
          <w:bCs w:val="0"/>
          <w:sz w:val="32"/>
          <w:szCs w:val="32"/>
        </w:rPr>
      </w:pPr>
      <w:r>
        <w:rPr>
          <w:rFonts w:ascii="方正仿宋_GBK" w:eastAsia="方正仿宋_GBK" w:cs="方正仿宋_GBK" w:hint="eastAsia"/>
          <w:b w:val="0"/>
          <w:bCs w:val="0"/>
          <w:sz w:val="32"/>
          <w:szCs w:val="32"/>
        </w:rPr>
        <w:t>报价单位需保证报价资料真实有效，弄虚作假、虚报价格者，取消合作资格，列入供应商黑名单。</w:t>
      </w:r>
    </w:p>
    <w:p>
      <w:pPr>
        <w:numPr>
          <w:ilvl w:val="0"/>
          <w:numId w:val="5"/>
        </w:numPr>
        <w:spacing w:before="120" w:after="120" w:line="288" w:lineRule="auto"/>
        <w:ind w:left="0"/>
        <w:jc w:val="left"/>
        <w:rPr>
          <w:rFonts w:ascii="方正仿宋_GBK" w:eastAsia="方正仿宋_GBK" w:cs="方正仿宋_GBK" w:hint="eastAsia"/>
          <w:b w:val="0"/>
          <w:bCs w:val="0"/>
          <w:sz w:val="32"/>
          <w:szCs w:val="32"/>
        </w:rPr>
      </w:pPr>
      <w:r>
        <w:rPr>
          <w:rFonts w:ascii="方正仿宋_GBK" w:eastAsia="方正仿宋_GBK" w:cs="方正仿宋_GBK" w:hint="eastAsia"/>
          <w:b w:val="0"/>
          <w:bCs w:val="0"/>
          <w:sz w:val="32"/>
          <w:szCs w:val="32"/>
        </w:rPr>
        <w:t>如需提供样品、资质证书、方案资料等，报价单位需在报价截止前一并提交至甲方。</w:t>
      </w:r>
    </w:p>
    <w:p>
      <w:pPr>
        <w:spacing w:before="300" w:after="120" w:line="288" w:lineRule="auto"/>
        <w:ind w:left="0"/>
        <w:jc w:val="left"/>
        <w:outlineLvl w:val="2"/>
        <w:rPr>
          <w:rFonts w:ascii="黑体" w:eastAsia="黑体" w:cs="黑体" w:hint="eastAsia"/>
          <w:b w:val="0"/>
          <w:bCs/>
          <w:sz w:val="32"/>
          <w:szCs w:val="32"/>
        </w:rPr>
      </w:pPr>
      <w:bookmarkStart w:id="3" w:name="heading_2"/>
      <w:r>
        <w:rPr>
          <w:rFonts w:ascii="黑体" w:eastAsia="黑体" w:cs="黑体" w:hint="eastAsia"/>
          <w:b w:val="0"/>
          <w:bCs/>
          <w:sz w:val="32"/>
          <w:szCs w:val="32"/>
        </w:rPr>
        <w:t>三、供货/服务要求</w:t>
      </w:r>
      <w:bookmarkEnd w:id="3"/>
    </w:p>
    <w:p>
      <w:pPr>
        <w:numPr>
          <w:ilvl w:val="0"/>
          <w:numId w:val="6"/>
        </w:numPr>
        <w:spacing w:before="120" w:after="120" w:line="288" w:lineRule="auto"/>
        <w:ind w:left="0"/>
        <w:jc w:val="left"/>
        <w:rPr>
          <w:rFonts w:ascii="方正仿宋_GBK" w:eastAsia="方正仿宋_GBK" w:cs="方正仿宋_GBK" w:hint="eastAsia"/>
          <w:sz w:val="32"/>
          <w:szCs w:val="32"/>
        </w:rPr>
      </w:pPr>
      <w:r>
        <w:rPr>
          <w:rFonts w:ascii="方正仿宋_GBK" w:eastAsia="方正仿宋_GBK" w:cs="方正仿宋_GBK" w:hint="eastAsia"/>
          <w:b/>
          <w:sz w:val="32"/>
          <w:szCs w:val="32"/>
        </w:rPr>
        <w:t>交付/完成周期</w:t>
      </w:r>
      <w:r>
        <w:rPr>
          <w:rFonts w:ascii="方正仿宋_GBK" w:eastAsia="方正仿宋_GBK" w:cs="方正仿宋_GBK" w:hint="eastAsia"/>
          <w:sz w:val="32"/>
          <w:szCs w:val="32"/>
        </w:rPr>
        <w:t>：合同签订后</w:t>
      </w:r>
      <w:r>
        <w:rPr>
          <w:rFonts w:ascii="方正仿宋_GBK" w:eastAsia="方正仿宋_GBK" w:cs="方正仿宋_GBK"/>
          <w:sz w:val="32"/>
          <w:szCs w:val="32"/>
          <w:u w:val="single"/>
        </w:rPr>
        <w:t>3</w:t>
      </w:r>
      <w:r>
        <w:rPr>
          <w:rFonts w:ascii="方正仿宋_GBK" w:eastAsia="方正仿宋_GBK" w:cs="方正仿宋_GBK" w:hint="eastAsia"/>
          <w:sz w:val="32"/>
          <w:szCs w:val="32"/>
        </w:rPr>
        <w:t>个日历天内完成供货/全部服务交付、验收完毕。</w:t>
      </w:r>
    </w:p>
    <w:p>
      <w:pPr>
        <w:numPr>
          <w:ilvl w:val="0"/>
          <w:numId w:val="7"/>
        </w:numPr>
        <w:spacing w:before="120" w:after="120" w:line="288" w:lineRule="auto"/>
        <w:ind w:left="0"/>
        <w:jc w:val="left"/>
        <w:rPr>
          <w:rFonts w:ascii="方正仿宋_GBK" w:eastAsia="方正仿宋_GBK" w:cs="方正仿宋_GBK" w:hint="eastAsia"/>
          <w:sz w:val="32"/>
          <w:szCs w:val="32"/>
        </w:rPr>
      </w:pPr>
      <w:r>
        <w:rPr>
          <w:rFonts w:ascii="方正仿宋_GBK" w:eastAsia="方正仿宋_GBK" w:cs="方正仿宋_GBK" w:hint="eastAsia"/>
          <w:b/>
          <w:sz w:val="32"/>
          <w:szCs w:val="32"/>
        </w:rPr>
        <w:t>交付地点</w:t>
      </w:r>
      <w:r>
        <w:rPr>
          <w:rFonts w:ascii="方正仿宋_GBK" w:eastAsia="方正仿宋_GBK" w:cs="方正仿宋_GBK" w:hint="eastAsia"/>
          <w:sz w:val="32"/>
          <w:szCs w:val="32"/>
        </w:rPr>
        <w:t>：</w:t>
      </w:r>
      <w:r>
        <w:rPr>
          <w:rFonts w:ascii="方正仿宋_GBK" w:eastAsia="方正仿宋_GBK" w:cs="方正仿宋_GBK" w:hint="eastAsia"/>
          <w:sz w:val="32"/>
          <w:szCs w:val="32"/>
          <w:u w:val="single"/>
          <w:lang w:val="en-US" w:eastAsia="zh-CN"/>
        </w:rPr>
        <w:t>二连海关缉私分局办公楼</w:t>
      </w:r>
      <w:r>
        <w:rPr>
          <w:rFonts w:ascii="方正仿宋_GBK" w:eastAsia="方正仿宋_GBK" w:cs="方正仿宋_GBK" w:hint="eastAsia"/>
          <w:sz w:val="32"/>
          <w:szCs w:val="32"/>
        </w:rPr>
        <w:t>（甲方指定地点）</w:t>
      </w:r>
    </w:p>
    <w:p>
      <w:pPr>
        <w:numPr>
          <w:ilvl w:val="0"/>
          <w:numId w:val="8"/>
        </w:numPr>
        <w:spacing w:before="120" w:after="120" w:line="288" w:lineRule="auto"/>
        <w:ind w:left="0"/>
        <w:jc w:val="left"/>
        <w:rPr>
          <w:rFonts w:ascii="方正仿宋_GBK" w:eastAsia="方正仿宋_GBK" w:cs="方正仿宋_GBK" w:hint="eastAsia"/>
          <w:sz w:val="32"/>
          <w:szCs w:val="32"/>
        </w:rPr>
      </w:pPr>
      <w:r>
        <w:rPr>
          <w:rFonts w:ascii="方正仿宋_GBK" w:eastAsia="方正仿宋_GBK" w:cs="方正仿宋_GBK" w:hint="eastAsia"/>
          <w:b/>
          <w:sz w:val="32"/>
          <w:szCs w:val="32"/>
        </w:rPr>
        <w:t>质量标准</w:t>
      </w:r>
      <w:r>
        <w:rPr>
          <w:rFonts w:ascii="方正仿宋_GBK" w:eastAsia="方正仿宋_GBK" w:cs="方正仿宋_GBK" w:hint="eastAsia"/>
          <w:sz w:val="32"/>
          <w:szCs w:val="32"/>
        </w:rPr>
        <w:t>：符合国家相关行业标准、国家标准及甲方采购需求，无质量瑕疵、无安全隐患。</w:t>
      </w:r>
    </w:p>
    <w:p>
      <w:pPr>
        <w:spacing w:before="300" w:after="120" w:line="288" w:lineRule="auto"/>
        <w:ind w:left="0"/>
        <w:jc w:val="left"/>
        <w:outlineLvl w:val="2"/>
        <w:rPr>
          <w:rFonts w:ascii="黑体" w:eastAsia="黑体" w:cs="黑体" w:hint="eastAsia"/>
          <w:b w:val="0"/>
          <w:bCs/>
          <w:sz w:val="32"/>
          <w:szCs w:val="32"/>
        </w:rPr>
      </w:pPr>
      <w:r>
        <w:rPr>
          <w:rFonts w:ascii="方正仿宋_GBK" w:eastAsia="方正仿宋_GBK" w:cs="方正仿宋_GBK" w:hint="eastAsia"/>
          <w:b/>
          <w:sz w:val="32"/>
          <w:szCs w:val="32"/>
        </w:rPr>
        <w:t>质保期限</w:t>
      </w:r>
      <w:r>
        <w:rPr>
          <w:rFonts w:ascii="方正仿宋_GBK" w:eastAsia="方正仿宋_GBK" w:cs="方正仿宋_GBK" w:hint="eastAsia"/>
          <w:sz w:val="32"/>
          <w:szCs w:val="32"/>
        </w:rPr>
        <w:t>：整体质保</w:t>
      </w:r>
      <w:r>
        <w:rPr>
          <w:rFonts w:ascii="方正仿宋_GBK" w:eastAsia="方正仿宋_GBK" w:cs="方正仿宋_GBK"/>
          <w:sz w:val="32"/>
          <w:szCs w:val="32"/>
          <w:u w:val="single"/>
          <w:lang w:val="en-US" w:eastAsia="zh-CN"/>
        </w:rPr>
        <w:t>2</w:t>
      </w:r>
      <w:r>
        <w:rPr>
          <w:rFonts w:ascii="方正仿宋_GBK" w:eastAsia="方正仿宋_GBK" w:cs="方正仿宋_GBK" w:hint="eastAsia"/>
          <w:sz w:val="32"/>
          <w:szCs w:val="32"/>
        </w:rPr>
        <w:t>年，质保期内免费维修、更换配件、提供售后技术</w:t>
      </w:r>
      <w:r>
        <w:rPr>
          <w:rFonts w:ascii="方正仿宋_GBK" w:eastAsia="方正仿宋_GBK" w:cs="方正仿宋_GBK" w:hint="eastAsia"/>
          <w:b w:val="0"/>
          <w:bCs/>
          <w:sz w:val="32"/>
          <w:szCs w:val="32"/>
        </w:rPr>
        <w:t>支持。</w:t>
      </w:r>
    </w:p>
    <w:p>
      <w:pPr>
        <w:spacing w:before="300" w:after="120" w:line="288" w:lineRule="auto"/>
        <w:ind w:left="0"/>
        <w:jc w:val="left"/>
        <w:outlineLvl w:val="2"/>
        <w:rPr>
          <w:rFonts w:ascii="黑体" w:eastAsia="黑体" w:cs="黑体" w:hint="eastAsia"/>
          <w:b w:val="0"/>
          <w:bCs/>
          <w:sz w:val="32"/>
          <w:szCs w:val="32"/>
        </w:rPr>
      </w:pPr>
      <w:bookmarkStart w:id="4" w:name="heading_3"/>
      <w:r>
        <w:rPr>
          <w:rFonts w:ascii="黑体" w:eastAsia="黑体" w:cs="黑体" w:hint="eastAsia"/>
          <w:b w:val="0"/>
          <w:bCs/>
          <w:sz w:val="32"/>
          <w:szCs w:val="32"/>
        </w:rPr>
        <w:t>四、付款方式</w:t>
      </w:r>
      <w:bookmarkEnd w:id="4"/>
    </w:p>
    <w:p>
      <w:pPr>
        <w:spacing w:before="120" w:after="120" w:line="288" w:lineRule="auto"/>
        <w:ind w:left="0"/>
        <w:jc w:val="left"/>
        <w:rPr>
          <w:rFonts w:ascii="方正仿宋_GBK" w:eastAsia="方正仿宋_GBK" w:cs="方正仿宋_GBK" w:hint="eastAsia"/>
          <w:sz w:val="32"/>
          <w:szCs w:val="32"/>
        </w:rPr>
      </w:pPr>
      <w:r>
        <w:rPr>
          <w:rFonts w:ascii="方正仿宋_GBK" w:eastAsia="方正仿宋_GBK" w:cs="方正仿宋_GBK" w:hint="eastAsia"/>
          <w:sz w:val="32"/>
          <w:szCs w:val="32"/>
        </w:rPr>
        <w:t>双方协商确定：</w:t>
      </w:r>
      <w:r>
        <w:rPr>
          <w:rFonts w:ascii="方正仿宋_GBK" w:eastAsia="方正仿宋_GBK" w:cs="方正仿宋_GBK" w:hint="eastAsia"/>
          <w:sz w:val="32"/>
          <w:szCs w:val="32"/>
          <w:lang w:eastAsia="zh-CN"/>
        </w:rPr>
        <w:t>☑</w:t>
      </w:r>
      <w:r>
        <w:rPr>
          <w:rFonts w:ascii="方正仿宋_GBK" w:eastAsia="方正仿宋_GBK" w:cs="方正仿宋_GBK" w:hint="eastAsia"/>
          <w:sz w:val="32"/>
          <w:szCs w:val="32"/>
        </w:rPr>
        <w:t xml:space="preserve"> 货到/验收合格一次性付款  □ 预付______%，验收合格付______%，质保期满付清尾款  □ 其他：_________________</w:t>
      </w:r>
    </w:p>
    <w:p>
      <w:pPr>
        <w:spacing w:before="120" w:after="120" w:line="288" w:lineRule="auto"/>
        <w:ind w:left="0"/>
        <w:jc w:val="left"/>
        <w:rPr>
          <w:rFonts w:ascii="方正仿宋_GBK" w:eastAsia="方正仿宋_GBK" w:cs="方正仿宋_GBK" w:hint="eastAsia"/>
          <w:sz w:val="32"/>
          <w:szCs w:val="32"/>
        </w:rPr>
      </w:pPr>
      <w:r>
        <w:rPr>
          <w:rFonts w:ascii="方正仿宋_GBK" w:eastAsia="方正仿宋_GBK" w:cs="方正仿宋_GBK" w:hint="eastAsia"/>
          <w:sz w:val="32"/>
          <w:szCs w:val="32"/>
        </w:rPr>
        <w:t>付款前提：乙方足额开具合法有效增值税发票，甲方验收货物/服务合格后</w:t>
      </w:r>
      <w:r>
        <w:rPr>
          <w:rFonts w:ascii="方正仿宋_GBK" w:eastAsia="方正仿宋_GBK" w:cs="方正仿宋_GBK"/>
          <w:sz w:val="32"/>
          <w:szCs w:val="32"/>
          <w:lang w:val="en-US" w:eastAsia="zh-CN"/>
        </w:rPr>
        <w:t>三十</w:t>
      </w:r>
      <w:r>
        <w:rPr>
          <w:rFonts w:ascii="方正仿宋_GBK" w:eastAsia="方正仿宋_GBK" w:cs="方正仿宋_GBK" w:hint="eastAsia"/>
          <w:sz w:val="32"/>
          <w:szCs w:val="32"/>
          <w:lang w:val="en-US" w:eastAsia="zh-CN"/>
        </w:rPr>
        <w:t>个工作日内</w:t>
      </w:r>
      <w:r>
        <w:rPr>
          <w:rFonts w:ascii="方正仿宋_GBK" w:eastAsia="方正仿宋_GBK" w:cs="方正仿宋_GBK" w:hint="eastAsia"/>
          <w:sz w:val="32"/>
          <w:szCs w:val="32"/>
        </w:rPr>
        <w:t>按约定流程付款。</w:t>
      </w:r>
    </w:p>
    <w:p>
      <w:pPr>
        <w:spacing w:before="300" w:after="120" w:line="288" w:lineRule="auto"/>
        <w:ind w:left="0"/>
        <w:jc w:val="left"/>
        <w:outlineLvl w:val="2"/>
        <w:rPr>
          <w:rFonts w:ascii="黑体" w:eastAsia="黑体" w:cs="黑体" w:hint="eastAsia"/>
          <w:b w:val="0"/>
          <w:bCs/>
          <w:sz w:val="32"/>
          <w:szCs w:val="32"/>
        </w:rPr>
      </w:pPr>
      <w:bookmarkStart w:id="5" w:name="heading_4"/>
      <w:r>
        <w:rPr>
          <w:rFonts w:ascii="黑体" w:eastAsia="黑体" w:cs="黑体" w:hint="eastAsia"/>
          <w:b w:val="0"/>
          <w:bCs/>
          <w:sz w:val="32"/>
          <w:szCs w:val="32"/>
        </w:rPr>
        <w:t>五、其他约定</w:t>
      </w:r>
      <w:bookmarkEnd w:id="5"/>
    </w:p>
    <w:p>
      <w:pPr>
        <w:numPr>
          <w:ilvl w:val="0"/>
          <w:numId w:val="9"/>
        </w:numPr>
        <w:spacing w:before="120" w:after="120" w:line="288" w:lineRule="auto"/>
        <w:ind w:left="0"/>
        <w:jc w:val="left"/>
        <w:rPr>
          <w:rFonts w:ascii="方正仿宋_GBK" w:eastAsia="方正仿宋_GBK" w:cs="方正仿宋_GBK" w:hint="eastAsia"/>
          <w:sz w:val="32"/>
          <w:szCs w:val="32"/>
        </w:rPr>
      </w:pPr>
      <w:r>
        <w:rPr>
          <w:rFonts w:ascii="方正仿宋_GBK" w:eastAsia="方正仿宋_GBK" w:cs="方正仿宋_GBK" w:hint="eastAsia"/>
          <w:sz w:val="32"/>
          <w:szCs w:val="32"/>
        </w:rPr>
        <w:t>本次询价不作为正式合同，最终合作以双方签订的正式采购合同为准。</w:t>
      </w:r>
    </w:p>
    <w:p>
      <w:pPr>
        <w:numPr>
          <w:ilvl w:val="0"/>
          <w:numId w:val="10"/>
        </w:numPr>
        <w:spacing w:before="120" w:after="120" w:line="288" w:lineRule="auto"/>
        <w:ind w:left="0"/>
        <w:jc w:val="left"/>
        <w:rPr>
          <w:rFonts w:ascii="方正仿宋_GBK" w:eastAsia="方正仿宋_GBK" w:cs="方正仿宋_GBK" w:hint="eastAsia"/>
          <w:sz w:val="32"/>
          <w:szCs w:val="32"/>
        </w:rPr>
      </w:pPr>
      <w:r>
        <w:rPr>
          <w:rFonts w:ascii="方正仿宋_GBK" w:eastAsia="方正仿宋_GBK" w:cs="方正仿宋_GBK" w:hint="eastAsia"/>
          <w:sz w:val="32"/>
          <w:szCs w:val="32"/>
        </w:rPr>
        <w:t>甲方有权根据报价价格、资质、服务、口碑等综合因素择优选择合作供应商，无需对未中标单位作出解释。</w:t>
      </w:r>
    </w:p>
    <w:p>
      <w:pPr>
        <w:numPr>
          <w:ilvl w:val="0"/>
          <w:numId w:val="11"/>
        </w:numPr>
        <w:spacing w:before="120" w:after="120" w:line="288" w:lineRule="auto"/>
        <w:ind w:left="0"/>
        <w:jc w:val="left"/>
        <w:rPr>
          <w:rFonts w:ascii="方正仿宋_GBK" w:eastAsia="方正仿宋_GBK" w:cs="方正仿宋_GBK" w:hint="eastAsia"/>
          <w:sz w:val="32"/>
          <w:szCs w:val="32"/>
        </w:rPr>
      </w:pPr>
      <w:r>
        <w:rPr>
          <w:rFonts w:ascii="方正仿宋_GBK" w:eastAsia="方正仿宋_GBK" w:cs="方正仿宋_GBK" w:hint="eastAsia"/>
          <w:sz w:val="32"/>
          <w:szCs w:val="32"/>
        </w:rPr>
        <w:t>乙方违约（逾期交付、质量不合格、服务不符要求等），需承担相应违约责任，赔偿甲方全部损失。</w:t>
      </w:r>
    </w:p>
    <w:p>
      <w:pPr>
        <w:numPr>
          <w:ilvl w:val="0"/>
          <w:numId w:val="12"/>
        </w:numPr>
        <w:spacing w:before="120" w:after="120" w:line="288" w:lineRule="auto"/>
        <w:ind w:left="0"/>
        <w:jc w:val="left"/>
        <w:rPr>
          <w:rFonts w:ascii="方正仿宋_GBK" w:eastAsia="方正仿宋_GBK" w:cs="方正仿宋_GBK" w:hint="eastAsia"/>
          <w:sz w:val="32"/>
          <w:szCs w:val="32"/>
        </w:rPr>
      </w:pPr>
      <w:r>
        <w:rPr>
          <w:rFonts w:ascii="方正仿宋_GBK" w:eastAsia="方正仿宋_GBK" w:cs="方正仿宋_GBK" w:hint="eastAsia"/>
          <w:sz w:val="32"/>
          <w:szCs w:val="32"/>
        </w:rPr>
        <w:t>本询价单所有内容对甲乙双方均具有约束力，未尽事宜双方协商解决。</w:t>
      </w:r>
    </w:p>
    <w:sectPr>
      <w:footerReference w:type="default" r:id="rId2"/>
      <w:pgSz w:w="11905" w:h="16840"/>
      <w:pgMar w:top="1440" w:right="1800" w:bottom="1440" w:left="1800" w:header="851" w:footer="992" w:gutter="0"/>
      <w:pgNumType/>
      <w:docGrid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等线">
    <w:altName w:val="Arial Unicode MS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仿宋_GBK">
    <w:panose1 w:val="02000000000000000000"/>
    <w:charset w:val="86"/>
    <w:family w:val="auto"/>
    <w:pitch w:val="variable"/>
    <w:sig w:usb0="A00002BF" w:usb1="38CF7CFA" w:usb2="00082016" w:usb3="00000000" w:csb0="00040001" w:csb1="00000000"/>
  </w:font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宋体"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200001FF" w:csb1="00000000"/>
  </w:font>
</w:fonts>
</file>

<file path=word/footer1.xml><?xml version="1.0" encoding="utf-8"?>
<w:ft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p>
    <w:r>
      <w:rPr>
        <w:sz w:val="21"/>
      </w:rPr>
      <mc:AlternateContent>
        <mc:Choice Requires="wps">
          <w:drawing>
            <wp:anchor distT="0" distB="0" distL="114298" distR="114298" simplePos="0" relativeHeight="10" behindDoc="0" locked="0" layoutInCell="1" hidden="0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7950" cy="139674"/>
              <wp:effectExtent l="0" t="0" r="0" b="0"/>
              <wp:wrapNone/>
              <wp:docPr id="1" name="_x0000_s4097"/>
              <wp:cNvGraphicFramePr>
                <a:graphicFrameLocks noChangeAspect="0"/>
              </wp:cNvGraphicFramePr>
              <a:graphic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57950" cy="139674"/>
                      </a:xfrm>
                      <a:prstGeom prst="rect"/>
                      <a:noFill/>
                      <a:ln w="9525" cmpd="sng" cap="flat">
                        <a:noFill/>
                        <a:prstDash val="solid"/>
                        <a:miter/>
                      </a:ln>
                    </wps:spPr>
                    <wps:txbx id="2">
                      <w:txbxContent>
                        <w:p>
                          <w:pPr>
                            <w:pStyle w:val="15"/>
                            <w:tabs>
                              <w:tab w:val="center" w:pos="4153"/>
                              <w:tab w:val="right" w:pos="8306"/>
                            </w:tabs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type="#_x0000_t202" id="_x0000_s4097 3" o:spid="_x0000_s3" filled="f" stroked="f" style="position:absolute;margin-left:0.0pt;margin-top:0.0pt;width:4.562999pt;height:10.998005pt;z-index:10;mso-position-horizontal:center;mso-position-horizontal-relative:margin;mso-position-vertical:absolute;mso-wrap-distance-left:8.999863pt;mso-wrap-distance-right:8.999863pt;mso-wrap-style:none;">
              <v:stroke color="#000000"/>
              <v:textbox id="848" inset="0mm,0mm,0mm,0mm" o:insetmode="custom" style="layout-flow:horizontal;v-text-anchor:top;mso-fit-shape-to-text:t;">
                <w:txbxContent>
                  <w:p>
                    <w:pPr>
                      <w:pStyle w:val="15"/>
                      <w:tabs>
                        <w:tab w:val="center" w:pos="4153"/>
                        <w:tab w:val="right" w:pos="8306"/>
                      </w:tabs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mc="http://schemas.openxmlformats.org/markup-compatibility/2006" xmlns:w14="http://schemas.microsoft.com/office/word/2010/wordml">
  <w:abstractNum w:abstractNumId="0">
    <w:nsid w:val="0053208E"/>
    <w:multiLevelType w:val="singleLevel"/>
    <w:tmpl w:val="0053208E"/>
    <w:lvl w:ilvl="0">
      <w:start w:val="0"/>
      <w:numFmt w:val="bullet"/>
      <w:lvlRestart w:val="0"/>
      <w:lvlText w:val="•"/>
      <w:lvlJc w:val="left"/>
      <w:pPr>
        <w:ind w:left="0" w:hanging="0"/>
      </w:pPr>
      <w:rPr>
        <w:color w:val="3370FF"/>
      </w:rPr>
    </w:lvl>
  </w:abstractNum>
  <w:abstractNum w:abstractNumId="1">
    <w:nsid w:val="CF092B84"/>
    <w:multiLevelType w:val="singleLevel"/>
    <w:tmpl w:val="CF092B84"/>
    <w:lvl w:ilvl="0">
      <w:start w:val="0"/>
      <w:numFmt w:val="bullet"/>
      <w:lvlRestart w:val="0"/>
      <w:lvlText w:val="•"/>
      <w:lvlJc w:val="left"/>
      <w:pPr>
        <w:ind w:left="0" w:hanging="0"/>
      </w:pPr>
      <w:rPr>
        <w:color w:val="3370FF"/>
      </w:rPr>
    </w:lvl>
  </w:abstractNum>
  <w:abstractNum w:abstractNumId="2">
    <w:nsid w:val="59ADCABA"/>
    <w:multiLevelType w:val="singleLevel"/>
    <w:tmpl w:val="59ADCABA"/>
    <w:lvl w:ilvl="0">
      <w:start w:val="0"/>
      <w:numFmt w:val="bullet"/>
      <w:lvlRestart w:val="0"/>
      <w:lvlText w:val="•"/>
      <w:lvlJc w:val="left"/>
      <w:pPr>
        <w:ind w:left="0" w:hanging="0"/>
      </w:pPr>
      <w:rPr>
        <w:color w:val="3370FF"/>
      </w:rPr>
    </w:lvl>
  </w:abstractNum>
  <w:abstractNum w:abstractNumId="3">
    <w:nsid w:val="BF205925"/>
    <w:multiLevelType w:val="singleLevel"/>
    <w:tmpl w:val="BF205925"/>
    <w:lvl w:ilvl="0">
      <w:start w:val="0"/>
      <w:numFmt w:val="bullet"/>
      <w:lvlRestart w:val="0"/>
      <w:lvlText w:val="•"/>
      <w:lvlJc w:val="left"/>
      <w:pPr>
        <w:ind w:left="0" w:hanging="0"/>
      </w:pPr>
      <w:rPr>
        <w:color w:val="3370FF"/>
      </w:rPr>
    </w:lvl>
  </w:abstractNum>
  <w:abstractNum w:abstractNumId="4">
    <w:nsid w:val="B5E306ED"/>
    <w:multiLevelType w:val="singleLevel"/>
    <w:tmpl w:val="B5E306ED"/>
    <w:lvl w:ilvl="0">
      <w:start w:val="0"/>
      <w:numFmt w:val="bullet"/>
      <w:lvlRestart w:val="0"/>
      <w:lvlText w:val="•"/>
      <w:lvlJc w:val="left"/>
      <w:pPr>
        <w:ind w:left="0" w:hanging="0"/>
      </w:pPr>
      <w:rPr>
        <w:color w:val="3370FF"/>
      </w:rPr>
    </w:lvl>
  </w:abstractNum>
  <w:abstractNum w:abstractNumId="5">
    <w:nsid w:val="03D62ECE"/>
    <w:multiLevelType w:val="singleLevel"/>
    <w:tmpl w:val="03D62ECE"/>
    <w:lvl w:ilvl="0">
      <w:start w:val="0"/>
      <w:numFmt w:val="bullet"/>
      <w:lvlRestart w:val="0"/>
      <w:lvlText w:val="•"/>
      <w:lvlJc w:val="left"/>
      <w:pPr>
        <w:ind w:left="0" w:hanging="0"/>
      </w:pPr>
      <w:rPr>
        <w:color w:val="3370FF"/>
      </w:rPr>
    </w:lvl>
  </w:abstractNum>
  <w:abstractNum w:abstractNumId="6">
    <w:nsid w:val="25B654F3"/>
    <w:multiLevelType w:val="singleLevel"/>
    <w:tmpl w:val="25B654F3"/>
    <w:lvl w:ilvl="0">
      <w:start w:val="0"/>
      <w:numFmt w:val="bullet"/>
      <w:lvlRestart w:val="0"/>
      <w:lvlText w:val="•"/>
      <w:lvlJc w:val="left"/>
      <w:pPr>
        <w:ind w:left="0" w:hanging="0"/>
      </w:pPr>
      <w:rPr>
        <w:color w:val="3370FF"/>
      </w:rPr>
    </w:lvl>
  </w:abstractNum>
  <w:abstractNum w:abstractNumId="7">
    <w:nsid w:val="72183CF9"/>
    <w:multiLevelType w:val="singleLevel"/>
    <w:tmpl w:val="72183CF9"/>
    <w:lvl w:ilvl="0">
      <w:start w:val="0"/>
      <w:numFmt w:val="bullet"/>
      <w:lvlRestart w:val="0"/>
      <w:lvlText w:val="•"/>
      <w:lvlJc w:val="left"/>
      <w:pPr>
        <w:ind w:left="0" w:hanging="0"/>
      </w:pPr>
      <w:rPr>
        <w:color w:val="3370FF"/>
      </w:rPr>
    </w:lvl>
  </w:abstractNum>
  <w:abstractNum w:abstractNumId="8">
    <w:nsid w:val="9239341B"/>
    <w:multiLevelType w:val="singleLevel"/>
    <w:tmpl w:val="9239341B"/>
    <w:lvl w:ilvl="0">
      <w:start w:val="0"/>
      <w:numFmt w:val="bullet"/>
      <w:lvlRestart w:val="0"/>
      <w:lvlText w:val="•"/>
      <w:lvlJc w:val="left"/>
      <w:pPr>
        <w:ind w:left="0" w:hanging="0"/>
      </w:pPr>
      <w:rPr>
        <w:color w:val="3370FF"/>
      </w:rPr>
    </w:lvl>
  </w:abstractNum>
  <w:abstractNum w:abstractNumId="9">
    <w:nsid w:val="2A8F537B"/>
    <w:multiLevelType w:val="singleLevel"/>
    <w:tmpl w:val="2A8F537B"/>
    <w:lvl w:ilvl="0">
      <w:start w:val="0"/>
      <w:numFmt w:val="bullet"/>
      <w:lvlRestart w:val="0"/>
      <w:lvlText w:val="•"/>
      <w:lvlJc w:val="left"/>
      <w:pPr>
        <w:ind w:left="0" w:hanging="0"/>
      </w:pPr>
      <w:rPr>
        <w:color w:val="3370FF"/>
      </w:rPr>
    </w:lvl>
  </w:abstractNum>
  <w:abstractNum w:abstractNumId="10">
    <w:nsid w:val="5A241D34"/>
    <w:multiLevelType w:val="singleLevel"/>
    <w:tmpl w:val="5A241D34"/>
    <w:lvl w:ilvl="0">
      <w:start w:val="0"/>
      <w:numFmt w:val="bullet"/>
      <w:lvlRestart w:val="0"/>
      <w:lvlText w:val="•"/>
      <w:lvlJc w:val="left"/>
      <w:pPr>
        <w:ind w:left="0" w:hanging="0"/>
      </w:pPr>
      <w:rPr>
        <w:color w:val="3370FF"/>
      </w:rPr>
    </w:lvl>
  </w:abstractNum>
  <w:abstractNum w:abstractNumId="11">
    <w:nsid w:val="C8879AEF"/>
    <w:multiLevelType w:val="singleLevel"/>
    <w:tmpl w:val="C8879AEF"/>
    <w:lvl w:ilvl="0">
      <w:start w:val="0"/>
      <w:numFmt w:val="bullet"/>
      <w:lvlRestart w:val="0"/>
      <w:lvlText w:val="•"/>
      <w:lvlJc w:val="left"/>
      <w:pPr>
        <w:ind w:left="0" w:hanging="0"/>
      </w:pPr>
      <w:rPr>
        <w:color w:val="3370FF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val="bestFit" w:percent="86"/>
  <w:doNotDisplayPageBoundaries/>
  <w:bordersDoNotSurroundHeader/>
  <w:bordersDoNotSurroundFooter/>
  <w:trackRevisions/>
  <w:defaultTabStop w:val="420"/>
  <w:drawingGridHorizontalSpacing w:val="105"/>
  <w:drawingGridVerticalSpacing w:val="156"/>
  <w:displayHorizontalDrawingGridEvery w:val="0"/>
  <w:displayVerticalDrawingGridEvery w:val="1"/>
  <w:compat>
    <w:spaceForUL/>
    <w:splitPgBreakAndParaMark/>
    <w:compatSetting w:name="compatibilityMode" w:uri="http://schemas.microsoft.com/office/word" w:val="14"/>
  </w:compat>
  <w:docVars/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character" w:default="1" w:styleId="10">
    <w:name w:val="Default Paragraph Font"/>
  </w:style>
  <w:style w:type="paragraph" w:styleId="15">
    <w:name w:val="footer"/>
    <w:basedOn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16">
    <w:name w:val="Hyperlink"/>
    <w:basedOn w:val="1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numbering" Target="numbering.xml"/><Relationship Id="rId5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4</TotalTime>
  <Application>Yozo_Office</Application>
  <Pages>4</Pages>
  <Words>900</Words>
  <Characters>969</Characters>
  <Lines>115</Lines>
  <Paragraphs>47</Paragraphs>
  <CharactersWithSpaces>1024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Apache POI</dc:creator>
  <cp:lastModifiedBy>付玮</cp:lastModifiedBy>
  <cp:revision>0</cp:revision>
  <dcterms:created xsi:type="dcterms:W3CDTF">2026-08-25T07:13:00Z</dcterms:created>
  <dcterms:modified xsi:type="dcterms:W3CDTF">2026-09-11T06:38:01Z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AIGC">
    <vt:lpwstr>{"Label":"1","ContentProducer":"001191110102MACQD9K64010000","ProduceID":"7677863831226010815","ReservedCode1":"","ContentPropagator":"","PropagateID":"","ReservedCode2":""}</vt:lpwstr>
  </property>
  <property fmtid="{D5CDD505-2E9C-101B-9397-08002B2CF9AE}" pid="3" name="KSOTemplateDocerSaveRecord">
    <vt:lpwstr>eyJoZGlkIjoiMmYzMDM1OTRiMzBhNWIxYWEzYzgxMzIzMTcxYmQ0OGMiLCJ1c2VySWQiOiIyNjY1Mzc3NDIifQ==</vt:lpwstr>
  </property>
  <property fmtid="{D5CDD505-2E9C-101B-9397-08002B2CF9AE}" pid="4" name="KSOProductBuildVer">
    <vt:lpwstr>2052-12.1.0.28043</vt:lpwstr>
  </property>
  <property fmtid="{D5CDD505-2E9C-101B-9397-08002B2CF9AE}" pid="5" name="ICV">
    <vt:lpwstr>EC39DE7CA3534A83989B5A2452C697BA_12</vt:lpwstr>
  </property>
</Properties>
</file>