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方正黑体_GBK" w:eastAsia="方正黑体_GBK" w:cs="方正黑体_GBK"/>
          <w:sz w:val="32"/>
          <w:szCs w:val="32"/>
        </w:rPr>
      </w:pPr>
      <w:r>
        <w:rPr>
          <w:rFonts w:hint="eastAsia" w:ascii="方正黑体_GBK" w:eastAsia="方正黑体_GBK" w:cs="方正黑体_GBK"/>
          <w:sz w:val="32"/>
          <w:szCs w:val="32"/>
        </w:rPr>
        <w:t>附件1</w:t>
      </w:r>
    </w:p>
    <w:p>
      <w:pPr>
        <w:spacing w:line="560" w:lineRule="exact"/>
        <w:jc w:val="center"/>
        <w:rPr>
          <w:rFonts w:ascii="方正小标宋_GBK" w:eastAsia="方正小标宋_GBK" w:cs="方正小标宋_GBK"/>
          <w:sz w:val="44"/>
          <w:szCs w:val="44"/>
        </w:rPr>
      </w:pPr>
      <w:r>
        <w:rPr>
          <w:rFonts w:hint="eastAsia" w:ascii="方正小标宋_GBK" w:eastAsia="方正小标宋_GBK" w:cs="方正小标宋_GBK"/>
          <w:sz w:val="44"/>
          <w:szCs w:val="44"/>
        </w:rPr>
        <w:t>比选采购需求书</w:t>
      </w:r>
    </w:p>
    <w:tbl>
      <w:tblPr>
        <w:tblStyle w:val="8"/>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8"/>
        <w:gridCol w:w="6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gridSpan w:val="2"/>
            <w:vAlign w:val="center"/>
          </w:tcPr>
          <w:p>
            <w:pPr>
              <w:spacing w:line="560" w:lineRule="exact"/>
              <w:jc w:val="center"/>
              <w:rPr>
                <w:rFonts w:ascii="方正仿宋_GBK" w:eastAsia="方正仿宋_GBK" w:cs="方正仿宋_GBK"/>
                <w:sz w:val="28"/>
                <w:szCs w:val="28"/>
              </w:rPr>
            </w:pPr>
            <w:r>
              <w:rPr>
                <w:rFonts w:hint="eastAsia" w:ascii="方正楷体_GBK" w:eastAsia="方正楷体_GBK" w:cs="方正楷体_GBK"/>
                <w:sz w:val="32"/>
                <w:szCs w:val="32"/>
              </w:rPr>
              <w:t>基础信息栏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98" w:type="dxa"/>
            <w:vAlign w:val="center"/>
          </w:tcPr>
          <w:p>
            <w:pPr>
              <w:spacing w:line="560" w:lineRule="exact"/>
              <w:jc w:val="center"/>
              <w:rPr>
                <w:rFonts w:ascii="方正仿宋_GBK" w:eastAsia="方正仿宋_GBK" w:cs="方正仿宋_GBK"/>
                <w:sz w:val="28"/>
                <w:szCs w:val="28"/>
              </w:rPr>
            </w:pPr>
            <w:r>
              <w:rPr>
                <w:rFonts w:hint="eastAsia" w:ascii="方正仿宋_GBK" w:eastAsia="方正仿宋_GBK" w:cs="方正仿宋_GBK"/>
                <w:sz w:val="28"/>
                <w:szCs w:val="28"/>
              </w:rPr>
              <w:t>项目名称</w:t>
            </w:r>
          </w:p>
        </w:tc>
        <w:tc>
          <w:tcPr>
            <w:tcW w:w="6862" w:type="dxa"/>
            <w:vAlign w:val="center"/>
          </w:tcPr>
          <w:p>
            <w:pPr>
              <w:spacing w:line="560" w:lineRule="exact"/>
              <w:jc w:val="center"/>
              <w:rPr>
                <w:rFonts w:ascii="方正仿宋_GBK" w:eastAsia="方正仿宋_GBK" w:cs="方正仿宋_GBK"/>
                <w:sz w:val="28"/>
                <w:szCs w:val="28"/>
              </w:rPr>
            </w:pPr>
            <w:r>
              <w:rPr>
                <w:rFonts w:ascii="方正仿宋_GBK" w:eastAsia="方正仿宋_GBK" w:cs="方正仿宋_GBK"/>
                <w:sz w:val="28"/>
                <w:szCs w:val="28"/>
              </w:rPr>
              <w:t>呼和浩特国际旅行卫生保健中心（呼和浩特海关口岸门诊部）</w:t>
            </w:r>
            <w:r>
              <w:rPr>
                <w:rFonts w:hint="eastAsia" w:ascii="方正仿宋_GBK" w:eastAsia="方正仿宋_GBK" w:cs="方正仿宋_GBK"/>
                <w:sz w:val="28"/>
                <w:szCs w:val="28"/>
                <w:lang w:val="en-US" w:eastAsia="zh-CN"/>
              </w:rPr>
              <w:t>4楼实验室屋顶维修工程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98" w:type="dxa"/>
            <w:vAlign w:val="center"/>
          </w:tcPr>
          <w:p>
            <w:pPr>
              <w:spacing w:line="560" w:lineRule="exact"/>
              <w:jc w:val="center"/>
              <w:rPr>
                <w:rFonts w:ascii="方正仿宋_GBK" w:eastAsia="方正仿宋_GBK" w:cs="方正仿宋_GBK"/>
                <w:sz w:val="28"/>
                <w:szCs w:val="28"/>
              </w:rPr>
            </w:pPr>
            <w:r>
              <w:rPr>
                <w:rFonts w:hint="eastAsia" w:ascii="方正仿宋_GBK" w:eastAsia="方正仿宋_GBK" w:cs="方正仿宋_GBK"/>
                <w:sz w:val="28"/>
                <w:szCs w:val="28"/>
              </w:rPr>
              <w:t>需求部门</w:t>
            </w:r>
          </w:p>
        </w:tc>
        <w:tc>
          <w:tcPr>
            <w:tcW w:w="6862" w:type="dxa"/>
            <w:vAlign w:val="center"/>
          </w:tcPr>
          <w:p>
            <w:pPr>
              <w:spacing w:line="560" w:lineRule="exact"/>
              <w:jc w:val="center"/>
              <w:rPr>
                <w:rFonts w:ascii="方正仿宋_GBK" w:eastAsia="方正仿宋_GBK" w:cs="方正仿宋_GBK"/>
                <w:sz w:val="28"/>
                <w:szCs w:val="28"/>
              </w:rPr>
            </w:pPr>
            <w:r>
              <w:rPr>
                <w:rFonts w:hint="eastAsia" w:ascii="方正仿宋_GBK" w:eastAsia="方正仿宋_GBK" w:cs="方正仿宋_GBK"/>
                <w:sz w:val="28"/>
                <w:szCs w:val="28"/>
                <w:highlight w:val="none"/>
              </w:rPr>
              <w:t>综合办公室（经办部门）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98" w:type="dxa"/>
            <w:vAlign w:val="center"/>
          </w:tcPr>
          <w:p>
            <w:pPr>
              <w:spacing w:line="560" w:lineRule="exact"/>
              <w:jc w:val="center"/>
              <w:rPr>
                <w:rFonts w:ascii="方正仿宋_GBK" w:eastAsia="方正仿宋_GBK" w:cs="方正仿宋_GBK"/>
                <w:sz w:val="28"/>
                <w:szCs w:val="28"/>
              </w:rPr>
            </w:pPr>
            <w:r>
              <w:rPr>
                <w:rFonts w:hint="eastAsia" w:ascii="方正仿宋_GBK" w:eastAsia="方正仿宋_GBK" w:cs="方正仿宋_GBK"/>
                <w:sz w:val="28"/>
                <w:szCs w:val="28"/>
              </w:rPr>
              <w:t>采购预算</w:t>
            </w:r>
          </w:p>
        </w:tc>
        <w:tc>
          <w:tcPr>
            <w:tcW w:w="6862" w:type="dxa"/>
            <w:vAlign w:val="center"/>
          </w:tcPr>
          <w:p>
            <w:pPr>
              <w:spacing w:line="560" w:lineRule="exact"/>
              <w:jc w:val="center"/>
              <w:rPr>
                <w:rFonts w:ascii="方正仿宋_GBK" w:eastAsia="方正仿宋_GBK" w:cs="方正仿宋_GBK"/>
                <w:sz w:val="28"/>
                <w:szCs w:val="28"/>
              </w:rPr>
            </w:pPr>
            <w:r>
              <w:rPr>
                <w:rFonts w:hint="eastAsia" w:ascii="方正仿宋_GBK" w:eastAsia="方正仿宋_GBK" w:cs="方正仿宋_GBK"/>
                <w:sz w:val="28"/>
                <w:szCs w:val="28"/>
                <w:lang w:val="en-US" w:eastAsia="zh-CN"/>
              </w:rPr>
              <w:t>210,218.17</w:t>
            </w:r>
            <w:r>
              <w:rPr>
                <w:rFonts w:hint="eastAsia" w:ascii="方正仿宋_GBK" w:eastAsia="方正仿宋_GBK" w:cs="方正仿宋_GBK"/>
                <w:sz w:val="28"/>
                <w:szCs w:val="28"/>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98" w:type="dxa"/>
            <w:vAlign w:val="center"/>
          </w:tcPr>
          <w:p>
            <w:pPr>
              <w:spacing w:line="560" w:lineRule="exact"/>
              <w:jc w:val="center"/>
              <w:rPr>
                <w:rFonts w:ascii="方正仿宋_GBK" w:eastAsia="方正仿宋_GBK" w:cs="方正仿宋_GBK"/>
                <w:sz w:val="28"/>
                <w:szCs w:val="28"/>
              </w:rPr>
            </w:pPr>
            <w:r>
              <w:rPr>
                <w:rFonts w:hint="eastAsia" w:ascii="方正仿宋_GBK" w:eastAsia="方正仿宋_GBK" w:cs="方正仿宋_GBK"/>
                <w:sz w:val="28"/>
                <w:szCs w:val="28"/>
              </w:rPr>
              <w:t>审批文件</w:t>
            </w:r>
          </w:p>
        </w:tc>
        <w:tc>
          <w:tcPr>
            <w:tcW w:w="6862" w:type="dxa"/>
            <w:vAlign w:val="center"/>
          </w:tcPr>
          <w:p>
            <w:pPr>
              <w:spacing w:line="560" w:lineRule="exact"/>
              <w:ind w:firstLine="1680" w:firstLineChars="600"/>
              <w:jc w:val="both"/>
              <w:rPr>
                <w:rFonts w:hint="default"/>
                <w:lang w:val="en-US" w:eastAsia="zh-CN"/>
              </w:rPr>
            </w:pPr>
            <w:r>
              <w:rPr>
                <w:rFonts w:hint="eastAsia" w:ascii="方正仿宋_GBK" w:eastAsia="方正仿宋_GBK" w:cs="方正仿宋_GBK"/>
                <w:sz w:val="28"/>
                <w:szCs w:val="28"/>
                <w:highlight w:val="none"/>
                <w:lang w:val="en-US" w:eastAsia="zh-CN"/>
              </w:rPr>
              <w:t>保健中心纪要〔2026〕12号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98" w:type="dxa"/>
            <w:vAlign w:val="center"/>
          </w:tcPr>
          <w:p>
            <w:pPr>
              <w:spacing w:line="560" w:lineRule="exact"/>
              <w:jc w:val="center"/>
              <w:rPr>
                <w:rFonts w:ascii="方正仿宋_GBK" w:eastAsia="方正仿宋_GBK" w:cs="方正仿宋_GBK"/>
                <w:sz w:val="28"/>
                <w:szCs w:val="28"/>
              </w:rPr>
            </w:pPr>
            <w:r>
              <w:rPr>
                <w:rFonts w:hint="eastAsia" w:ascii="方正仿宋_GBK" w:eastAsia="方正仿宋_GBK" w:cs="方正仿宋_GBK"/>
                <w:sz w:val="28"/>
                <w:szCs w:val="28"/>
              </w:rPr>
              <w:t>经费来源</w:t>
            </w:r>
          </w:p>
        </w:tc>
        <w:tc>
          <w:tcPr>
            <w:tcW w:w="6862" w:type="dxa"/>
            <w:vAlign w:val="center"/>
          </w:tcPr>
          <w:p>
            <w:pPr>
              <w:spacing w:line="560" w:lineRule="exact"/>
              <w:jc w:val="center"/>
              <w:rPr>
                <w:rFonts w:ascii="方正仿宋_GBK" w:eastAsia="方正仿宋_GBK" w:cs="方正仿宋_GBK"/>
                <w:sz w:val="28"/>
                <w:szCs w:val="28"/>
              </w:rPr>
            </w:pPr>
            <w:r>
              <w:rPr>
                <w:rFonts w:hint="eastAsia" w:ascii="方正仿宋_GBK" w:eastAsia="方正仿宋_GBK" w:cs="方正仿宋_GBK"/>
                <w:sz w:val="28"/>
                <w:szCs w:val="28"/>
                <w:highlight w:val="none"/>
              </w:rPr>
              <w:t>海关法检业务工作专项经费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98" w:type="dxa"/>
            <w:vAlign w:val="center"/>
          </w:tcPr>
          <w:p>
            <w:pPr>
              <w:spacing w:line="560" w:lineRule="exact"/>
              <w:jc w:val="center"/>
              <w:rPr>
                <w:rFonts w:ascii="方正仿宋_GBK" w:eastAsia="方正仿宋_GBK" w:cs="方正仿宋_GBK"/>
                <w:sz w:val="28"/>
                <w:szCs w:val="28"/>
              </w:rPr>
            </w:pPr>
            <w:r>
              <w:rPr>
                <w:rFonts w:hint="eastAsia" w:ascii="方正仿宋_GBK" w:eastAsia="方正仿宋_GBK" w:cs="方正仿宋_GBK"/>
                <w:sz w:val="28"/>
                <w:szCs w:val="28"/>
              </w:rPr>
              <w:t>评审方法</w:t>
            </w:r>
          </w:p>
        </w:tc>
        <w:tc>
          <w:tcPr>
            <w:tcW w:w="6862" w:type="dxa"/>
            <w:vAlign w:val="center"/>
          </w:tcPr>
          <w:p>
            <w:pPr>
              <w:spacing w:line="400" w:lineRule="exact"/>
              <w:jc w:val="left"/>
              <w:rPr>
                <w:rFonts w:ascii="方正仿宋_GBK" w:eastAsia="方正仿宋_GBK" w:cs="方正仿宋_GBK"/>
                <w:sz w:val="28"/>
                <w:szCs w:val="28"/>
              </w:rPr>
            </w:pPr>
            <w:r>
              <w:rPr>
                <w:rFonts w:hint="eastAsia" w:ascii="方正仿宋_GBK" w:eastAsia="方正仿宋_GBK" w:cs="方正仿宋_GBK"/>
                <w:sz w:val="28"/>
                <w:szCs w:val="28"/>
              </w:rPr>
              <w:sym w:font="Wingdings 2" w:char="00A3"/>
            </w:r>
            <w:r>
              <w:rPr>
                <w:rFonts w:hint="eastAsia" w:ascii="方正仿宋_GBK" w:eastAsia="方正仿宋_GBK" w:cs="方正仿宋_GBK"/>
                <w:sz w:val="28"/>
                <w:szCs w:val="28"/>
              </w:rPr>
              <w:t>最低价法</w:t>
            </w:r>
          </w:p>
          <w:p>
            <w:pPr>
              <w:spacing w:line="400" w:lineRule="exact"/>
              <w:jc w:val="left"/>
              <w:rPr>
                <w:rFonts w:ascii="方正仿宋_GBK" w:eastAsia="方正仿宋_GBK" w:cs="方正仿宋_GBK"/>
                <w:sz w:val="28"/>
                <w:szCs w:val="28"/>
              </w:rPr>
            </w:pPr>
            <w:r>
              <w:rPr>
                <w:rFonts w:hint="eastAsia" w:ascii="方正仿宋_GBK" w:eastAsia="方正仿宋_GBK" w:cs="方正仿宋_GBK"/>
                <w:sz w:val="28"/>
                <w:szCs w:val="28"/>
              </w:rPr>
              <w:sym w:font="Wingdings 2" w:char="0052"/>
            </w:r>
            <w:r>
              <w:rPr>
                <w:rFonts w:hint="eastAsia" w:ascii="方正仿宋_GBK" w:eastAsia="方正仿宋_GBK" w:cs="方正仿宋_GBK"/>
                <w:sz w:val="28"/>
                <w:szCs w:val="28"/>
              </w:rPr>
              <w:t>综合评分法（权重</w:t>
            </w:r>
            <w:r>
              <w:rPr>
                <w:rFonts w:hint="eastAsia" w:ascii="方正仿宋_GBK" w:eastAsia="方正仿宋_GBK" w:cs="方正仿宋_GBK"/>
                <w:sz w:val="28"/>
                <w:szCs w:val="28"/>
                <w:highlight w:val="none"/>
              </w:rPr>
              <w:t>：价格</w:t>
            </w:r>
            <w:r>
              <w:rPr>
                <w:rFonts w:hint="eastAsia" w:ascii="方正仿宋_GBK" w:eastAsia="方正仿宋_GBK" w:cs="方正仿宋_GBK"/>
                <w:sz w:val="28"/>
                <w:szCs w:val="28"/>
                <w:highlight w:val="none"/>
                <w:lang w:val="en-US" w:eastAsia="zh-CN"/>
              </w:rPr>
              <w:t>2</w:t>
            </w:r>
            <w:r>
              <w:rPr>
                <w:rFonts w:hint="eastAsia" w:ascii="方正仿宋_GBK" w:eastAsia="方正仿宋_GBK" w:cs="方正仿宋_GBK"/>
                <w:sz w:val="28"/>
                <w:szCs w:val="28"/>
                <w:highlight w:val="none"/>
              </w:rPr>
              <w:t>0%、评</w:t>
            </w:r>
            <w:r>
              <w:rPr>
                <w:rFonts w:hint="eastAsia" w:ascii="方正仿宋_GBK" w:eastAsia="方正仿宋_GBK" w:cs="方正仿宋_GBK"/>
                <w:sz w:val="28"/>
                <w:szCs w:val="28"/>
              </w:rPr>
              <w:t>审因素</w:t>
            </w:r>
            <w:r>
              <w:rPr>
                <w:rFonts w:hint="eastAsia" w:ascii="方正仿宋_GBK" w:eastAsia="方正仿宋_GBK" w:cs="方正仿宋_GBK"/>
                <w:sz w:val="28"/>
                <w:szCs w:val="28"/>
                <w:lang w:val="en-US" w:eastAsia="zh-CN"/>
              </w:rPr>
              <w:t>8</w:t>
            </w:r>
            <w:r>
              <w:rPr>
                <w:rFonts w:hint="eastAsia" w:ascii="方正仿宋_GBK" w:eastAsia="方正仿宋_GBK" w:cs="方正仿宋_GBK"/>
                <w:sz w:val="28"/>
                <w:szCs w:val="2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98" w:type="dxa"/>
            <w:vAlign w:val="center"/>
          </w:tcPr>
          <w:p>
            <w:pPr>
              <w:spacing w:line="560" w:lineRule="exact"/>
              <w:jc w:val="center"/>
              <w:rPr>
                <w:rFonts w:ascii="方正仿宋_GBK" w:eastAsia="方正仿宋_GBK" w:cs="方正仿宋_GBK"/>
                <w:sz w:val="28"/>
                <w:szCs w:val="28"/>
                <w:highlight w:val="none"/>
              </w:rPr>
            </w:pPr>
            <w:r>
              <w:rPr>
                <w:rFonts w:hint="eastAsia" w:ascii="方正仿宋_GBK" w:eastAsia="方正仿宋_GBK" w:cs="方正仿宋_GBK"/>
                <w:sz w:val="28"/>
                <w:szCs w:val="28"/>
                <w:highlight w:val="none"/>
              </w:rPr>
              <w:t>编制人</w:t>
            </w:r>
          </w:p>
        </w:tc>
        <w:tc>
          <w:tcPr>
            <w:tcW w:w="6862" w:type="dxa"/>
            <w:vAlign w:val="center"/>
          </w:tcPr>
          <w:p>
            <w:pPr>
              <w:spacing w:line="560" w:lineRule="exact"/>
              <w:jc w:val="center"/>
              <w:rPr>
                <w:rFonts w:ascii="方正仿宋_GBK" w:eastAsia="方正仿宋_GBK" w:cs="方正仿宋_GBK"/>
                <w:sz w:val="28"/>
                <w:szCs w:val="28"/>
              </w:rPr>
            </w:pPr>
            <w:r>
              <w:rPr>
                <w:rFonts w:hint="eastAsia" w:ascii="方正仿宋_GBK" w:eastAsia="方正仿宋_GBK" w:cs="方正仿宋_GBK"/>
                <w:sz w:val="28"/>
                <w:szCs w:val="28"/>
              </w:rPr>
              <w:t>苏志川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98" w:type="dxa"/>
            <w:vAlign w:val="center"/>
          </w:tcPr>
          <w:p>
            <w:pPr>
              <w:spacing w:line="560" w:lineRule="exact"/>
              <w:jc w:val="center"/>
              <w:rPr>
                <w:rFonts w:ascii="方正仿宋_GBK" w:eastAsia="方正仿宋_GBK" w:cs="方正仿宋_GBK"/>
                <w:sz w:val="28"/>
                <w:szCs w:val="28"/>
                <w:highlight w:val="none"/>
              </w:rPr>
            </w:pPr>
            <w:r>
              <w:rPr>
                <w:rFonts w:hint="eastAsia" w:ascii="方正仿宋_GBK" w:eastAsia="方正仿宋_GBK" w:cs="方正仿宋_GBK"/>
                <w:sz w:val="28"/>
                <w:szCs w:val="28"/>
                <w:highlight w:val="none"/>
              </w:rPr>
              <w:t>复核人</w:t>
            </w:r>
          </w:p>
          <w:p>
            <w:pPr>
              <w:spacing w:line="560" w:lineRule="exact"/>
              <w:jc w:val="center"/>
              <w:rPr>
                <w:rFonts w:ascii="方正仿宋_GBK" w:eastAsia="方正仿宋_GBK" w:cs="方正仿宋_GBK"/>
                <w:sz w:val="28"/>
                <w:szCs w:val="28"/>
                <w:highlight w:val="none"/>
              </w:rPr>
            </w:pPr>
            <w:r>
              <w:rPr>
                <w:rFonts w:hint="eastAsia" w:ascii="方正仿宋_GBK" w:eastAsia="方正仿宋_GBK" w:cs="方正仿宋_GBK"/>
                <w:sz w:val="28"/>
                <w:szCs w:val="28"/>
                <w:highlight w:val="none"/>
              </w:rPr>
              <w:t>（科室负责人）</w:t>
            </w:r>
          </w:p>
        </w:tc>
        <w:tc>
          <w:tcPr>
            <w:tcW w:w="6862" w:type="dxa"/>
            <w:vAlign w:val="center"/>
          </w:tcPr>
          <w:p>
            <w:pPr>
              <w:spacing w:line="560" w:lineRule="exact"/>
              <w:jc w:val="center"/>
              <w:rPr>
                <w:rFonts w:ascii="方正仿宋_GBK" w:eastAsia="方正仿宋_GBK" w:cs="方正仿宋_GBK"/>
                <w:sz w:val="28"/>
                <w:szCs w:val="28"/>
              </w:rPr>
            </w:pPr>
            <w:r>
              <w:rPr>
                <w:rFonts w:hint="eastAsia" w:ascii="方正仿宋_GBK" w:eastAsia="方正仿宋_GBK" w:cs="方正仿宋_GBK"/>
                <w:sz w:val="28"/>
                <w:szCs w:val="28"/>
              </w:rPr>
              <w:t>李娟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98" w:type="dxa"/>
            <w:vAlign w:val="center"/>
          </w:tcPr>
          <w:p>
            <w:pPr>
              <w:spacing w:line="560" w:lineRule="exact"/>
              <w:jc w:val="center"/>
              <w:rPr>
                <w:rFonts w:ascii="方正仿宋_GBK" w:eastAsia="方正仿宋_GBK" w:cs="方正仿宋_GBK"/>
                <w:sz w:val="28"/>
                <w:szCs w:val="28"/>
                <w:highlight w:val="none"/>
              </w:rPr>
            </w:pPr>
            <w:r>
              <w:rPr>
                <w:rFonts w:hint="eastAsia" w:ascii="方正仿宋_GBK" w:eastAsia="方正仿宋_GBK" w:cs="方正仿宋_GBK"/>
                <w:sz w:val="28"/>
                <w:szCs w:val="28"/>
                <w:highlight w:val="none"/>
              </w:rPr>
              <w:t>审核人</w:t>
            </w:r>
          </w:p>
          <w:p>
            <w:pPr>
              <w:spacing w:line="560" w:lineRule="exact"/>
              <w:jc w:val="center"/>
              <w:rPr>
                <w:rFonts w:ascii="方正仿宋_GBK" w:eastAsia="方正仿宋_GBK" w:cs="方正仿宋_GBK"/>
                <w:sz w:val="28"/>
                <w:szCs w:val="28"/>
                <w:highlight w:val="none"/>
              </w:rPr>
            </w:pPr>
            <w:r>
              <w:rPr>
                <w:rFonts w:hint="eastAsia" w:ascii="方正仿宋_GBK" w:eastAsia="方正仿宋_GBK" w:cs="方正仿宋_GBK"/>
                <w:sz w:val="28"/>
                <w:szCs w:val="28"/>
                <w:highlight w:val="none"/>
              </w:rPr>
              <w:t>（部门负责人）</w:t>
            </w:r>
          </w:p>
        </w:tc>
        <w:tc>
          <w:tcPr>
            <w:tcW w:w="6862" w:type="dxa"/>
            <w:vAlign w:val="center"/>
          </w:tcPr>
          <w:p>
            <w:pPr>
              <w:spacing w:line="560" w:lineRule="exact"/>
              <w:jc w:val="center"/>
              <w:rPr>
                <w:rFonts w:ascii="方正仿宋_GBK" w:eastAsia="方正仿宋_GBK" w:cs="方正仿宋_GBK"/>
                <w:sz w:val="28"/>
                <w:szCs w:val="28"/>
              </w:rPr>
            </w:pPr>
            <w:r>
              <w:rPr>
                <w:rFonts w:hint="eastAsia" w:ascii="方正仿宋_GBK" w:eastAsia="方正仿宋_GBK" w:cs="方正仿宋_GBK"/>
                <w:sz w:val="28"/>
                <w:szCs w:val="28"/>
              </w:rPr>
              <w:t>陈宇飞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gridSpan w:val="2"/>
            <w:vAlign w:val="center"/>
          </w:tcPr>
          <w:p>
            <w:pPr>
              <w:spacing w:line="560" w:lineRule="exact"/>
              <w:jc w:val="center"/>
              <w:rPr>
                <w:rFonts w:ascii="方正仿宋_GBK" w:eastAsia="方正仿宋_GBK" w:cs="方正仿宋_GBK"/>
                <w:sz w:val="28"/>
                <w:szCs w:val="28"/>
              </w:rPr>
            </w:pPr>
            <w:r>
              <w:rPr>
                <w:rFonts w:hint="eastAsia" w:ascii="方正楷体_GBK" w:eastAsia="方正楷体_GBK" w:cs="方正楷体_GBK"/>
                <w:sz w:val="32"/>
                <w:szCs w:val="32"/>
              </w:rPr>
              <w:t>详细需求栏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98" w:type="dxa"/>
            <w:vAlign w:val="center"/>
          </w:tcPr>
          <w:p>
            <w:pPr>
              <w:spacing w:line="560" w:lineRule="exact"/>
              <w:jc w:val="center"/>
              <w:rPr>
                <w:rFonts w:ascii="方正仿宋_GBK" w:eastAsia="方正仿宋_GBK" w:cs="方正仿宋_GBK"/>
                <w:sz w:val="28"/>
                <w:szCs w:val="28"/>
              </w:rPr>
            </w:pPr>
            <w:r>
              <w:rPr>
                <w:rFonts w:hint="eastAsia" w:ascii="方正仿宋_GBK" w:eastAsia="方正仿宋_GBK" w:cs="方正仿宋_GBK"/>
                <w:sz w:val="28"/>
                <w:szCs w:val="28"/>
              </w:rPr>
              <w:t>说明</w:t>
            </w:r>
          </w:p>
        </w:tc>
        <w:tc>
          <w:tcPr>
            <w:tcW w:w="6862" w:type="dxa"/>
            <w:vAlign w:val="center"/>
          </w:tcPr>
          <w:p>
            <w:pPr>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1.不满足资格条件的响应文件将按无效响应文件处理。</w:t>
            </w:r>
          </w:p>
          <w:p>
            <w:pPr>
              <w:spacing w:line="400" w:lineRule="exact"/>
              <w:rPr>
                <w:rFonts w:ascii="方正仿宋_GBK" w:eastAsia="方正仿宋_GBK" w:cs="方正仿宋_GBK"/>
                <w:sz w:val="28"/>
                <w:szCs w:val="28"/>
              </w:rPr>
            </w:pPr>
            <w:r>
              <w:rPr>
                <w:rFonts w:ascii="Times New Roman" w:hAnsi="Times New Roman" w:eastAsia="方正仿宋_GBK" w:cs="Times New Roman"/>
                <w:sz w:val="28"/>
                <w:szCs w:val="28"/>
              </w:rPr>
              <w:t>2.</w:t>
            </w:r>
            <w:r>
              <w:rPr>
                <w:rFonts w:hint="eastAsia" w:ascii="方正仿宋_GBK" w:eastAsia="方正仿宋_GBK" w:cs="方正仿宋_GBK"/>
                <w:sz w:val="28"/>
                <w:szCs w:val="28"/>
              </w:rPr>
              <w:t>详细需求栏中所有加“★”项的需求均为实质性要求，不满足实质性要求的响应文件将按无效响应文件处理。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8" w:hRule="atLeast"/>
        </w:trPr>
        <w:tc>
          <w:tcPr>
            <w:tcW w:w="2198" w:type="dxa"/>
            <w:vAlign w:val="center"/>
          </w:tcPr>
          <w:p>
            <w:pPr>
              <w:spacing w:line="560" w:lineRule="exact"/>
              <w:jc w:val="center"/>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资格条件</w:t>
            </w:r>
          </w:p>
        </w:tc>
        <w:tc>
          <w:tcPr>
            <w:tcW w:w="6862" w:type="dxa"/>
            <w:vAlign w:val="center"/>
          </w:tcPr>
          <w:p>
            <w:pPr>
              <w:spacing w:line="4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1.满足《中华人民共和国政府采购法》第二十二条规定；</w:t>
            </w:r>
          </w:p>
          <w:p>
            <w:pPr>
              <w:spacing w:line="4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2.本项目的特定资格要求：</w:t>
            </w:r>
          </w:p>
          <w:p>
            <w:pPr>
              <w:spacing w:line="400" w:lineRule="exact"/>
              <w:rPr>
                <w:rFonts w:ascii="方正仿宋_GBK" w:eastAsia="方正仿宋_GBK" w:cs="方正仿宋_GBK"/>
                <w:sz w:val="28"/>
                <w:szCs w:val="28"/>
              </w:rPr>
            </w:pPr>
            <w:r>
              <w:rPr>
                <w:rFonts w:hint="eastAsia" w:ascii="Times New Roman" w:hAnsi="Times New Roman" w:eastAsia="方正仿宋_GBK" w:cs="Times New Roman"/>
                <w:sz w:val="28"/>
                <w:szCs w:val="28"/>
              </w:rPr>
              <w:t>（1）</w:t>
            </w:r>
            <w:r>
              <w:rPr>
                <w:rFonts w:hint="eastAsia" w:ascii="Times New Roman" w:hAnsi="Times New Roman" w:eastAsia="方正仿宋_GBK" w:cs="Times New Roman"/>
                <w:color w:val="auto"/>
                <w:sz w:val="28"/>
                <w:szCs w:val="28"/>
                <w:shd w:val="clear" w:color="auto" w:fill="auto"/>
              </w:rPr>
              <w:t>供应商须具备建设行政主管部门颁发的【建筑装修装饰工程专业承包乙级（含）以上</w:t>
            </w:r>
            <w:r>
              <w:rPr>
                <w:rFonts w:hint="eastAsia" w:ascii="Times New Roman" w:hAnsi="Times New Roman" w:eastAsia="方正仿宋_GBK" w:cs="Times New Roman"/>
                <w:color w:val="auto"/>
                <w:sz w:val="28"/>
                <w:szCs w:val="28"/>
                <w:shd w:val="clear" w:color="auto" w:fill="auto"/>
                <w:lang w:val="en-US" w:eastAsia="zh-CN"/>
              </w:rPr>
              <w:t>或建筑工程施工总承包乙级（含）以上资质证书</w:t>
            </w:r>
            <w:r>
              <w:rPr>
                <w:rFonts w:hint="eastAsia" w:ascii="Times New Roman" w:hAnsi="Times New Roman" w:eastAsia="方正仿宋_GBK" w:cs="Times New Roman"/>
                <w:color w:val="auto"/>
                <w:sz w:val="28"/>
                <w:szCs w:val="28"/>
                <w:shd w:val="clear" w:color="auto" w:fill="auto"/>
              </w:rPr>
              <w:t>】,证书在有效期内(上述资质为住建部最新资质要求(2020年11月30日建市(2020)94号《住房和城乡建设部关于印发建设工程企业资质管理制度改革方案的通知》);如供应商还未申办上述资质,则供应商须具有建设主管部门颁发的【建筑装修装饰工程专业承包</w:t>
            </w:r>
            <w:r>
              <w:rPr>
                <w:rFonts w:hint="eastAsia" w:ascii="Times New Roman" w:hAnsi="Times New Roman" w:eastAsia="方正仿宋_GBK" w:cs="Times New Roman"/>
                <w:color w:val="auto"/>
                <w:sz w:val="28"/>
                <w:szCs w:val="28"/>
                <w:shd w:val="clear" w:color="auto" w:fill="auto"/>
                <w:lang w:val="en-US" w:eastAsia="zh-CN"/>
              </w:rPr>
              <w:t>二</w:t>
            </w:r>
            <w:r>
              <w:rPr>
                <w:rFonts w:hint="eastAsia" w:ascii="Times New Roman" w:hAnsi="Times New Roman" w:eastAsia="方正仿宋_GBK" w:cs="Times New Roman"/>
                <w:color w:val="auto"/>
                <w:sz w:val="28"/>
                <w:szCs w:val="28"/>
                <w:shd w:val="clear" w:color="auto" w:fill="auto"/>
              </w:rPr>
              <w:t>级（含）以上</w:t>
            </w:r>
            <w:r>
              <w:rPr>
                <w:rFonts w:hint="eastAsia" w:ascii="Times New Roman" w:hAnsi="Times New Roman" w:eastAsia="方正仿宋_GBK" w:cs="Times New Roman"/>
                <w:color w:val="auto"/>
                <w:sz w:val="28"/>
                <w:szCs w:val="28"/>
                <w:shd w:val="clear" w:color="auto" w:fill="auto"/>
                <w:lang w:val="en-US" w:eastAsia="zh-CN"/>
              </w:rPr>
              <w:t>或建筑工程施工总承包三级（含）以上资质证书</w:t>
            </w:r>
            <w:r>
              <w:rPr>
                <w:rFonts w:hint="eastAsia" w:ascii="Times New Roman" w:hAnsi="Times New Roman" w:eastAsia="方正仿宋_GBK" w:cs="Times New Roman"/>
                <w:color w:val="auto"/>
                <w:sz w:val="28"/>
                <w:szCs w:val="28"/>
                <w:shd w:val="clear" w:color="auto" w:fill="auto"/>
              </w:rPr>
              <w:t>】且证书在有效期内；</w:t>
            </w:r>
            <w:r>
              <w:rPr>
                <w:rFonts w:hint="eastAsia" w:ascii="Times New Roman" w:hAnsi="Times New Roman" w:eastAsia="方正仿宋_GBK" w:cs="Times New Roman"/>
                <w:color w:val="auto"/>
                <w:sz w:val="28"/>
                <w:szCs w:val="28"/>
                <w:shd w:val="clear" w:color="auto" w:fill="auto"/>
              </w:rPr>
              <w:br w:type="textWrapping"/>
            </w:r>
            <w:r>
              <w:rPr>
                <w:rFonts w:hint="eastAsia" w:ascii="Times New Roman" w:hAnsi="Times New Roman" w:eastAsia="方正仿宋_GBK" w:cs="Times New Roman"/>
                <w:sz w:val="28"/>
                <w:szCs w:val="28"/>
              </w:rPr>
              <w:t>（2）供应商须具有有效的安全生产许可证，证书在有效期内；</w:t>
            </w:r>
            <w:r>
              <w:rPr>
                <w:rFonts w:hint="eastAsia" w:ascii="Times New Roman" w:hAnsi="Times New Roman" w:eastAsia="方正仿宋_GBK" w:cs="Times New Roman"/>
                <w:sz w:val="28"/>
                <w:szCs w:val="28"/>
              </w:rPr>
              <w:br w:type="textWrapping"/>
            </w:r>
            <w:r>
              <w:rPr>
                <w:rFonts w:hint="eastAsia" w:ascii="Times New Roman" w:hAnsi="Times New Roman" w:eastAsia="方正仿宋_GBK" w:cs="Times New Roman"/>
                <w:sz w:val="28"/>
                <w:szCs w:val="28"/>
              </w:rPr>
              <w:t>（3）项目经理要求：拟派本项目经理须具有:1）、具有有效的本单位注册的建筑工程专业二级（含）以上建造师注册证书；2）、具备有效的安全生产考核合格证书;3）、不得担任其他在建工程项目的项目经理,提供无在建工程项目承诺函(格式自拟，加盖公章）；</w:t>
            </w:r>
            <w:r>
              <w:rPr>
                <w:rFonts w:hint="eastAsia" w:ascii="Times New Roman" w:hAnsi="Times New Roman" w:eastAsia="方正仿宋_GBK" w:cs="Times New Roman"/>
                <w:sz w:val="28"/>
                <w:szCs w:val="28"/>
              </w:rPr>
              <w:br w:type="textWrapping"/>
            </w:r>
            <w:r>
              <w:rPr>
                <w:rFonts w:hint="eastAsia" w:ascii="Times New Roman" w:hAnsi="Times New Roman" w:eastAsia="方正仿宋_GBK" w:cs="Times New Roman"/>
                <w:sz w:val="28"/>
                <w:szCs w:val="28"/>
              </w:rPr>
              <w:t>3.本项目其他要求：</w:t>
            </w:r>
            <w:r>
              <w:rPr>
                <w:rFonts w:hint="eastAsia" w:ascii="Times New Roman" w:hAnsi="Times New Roman" w:eastAsia="方正仿宋_GBK" w:cs="Times New Roman"/>
                <w:sz w:val="28"/>
                <w:szCs w:val="28"/>
              </w:rPr>
              <w:br w:type="textWrapping"/>
            </w:r>
            <w:r>
              <w:rPr>
                <w:rFonts w:hint="eastAsia" w:ascii="Times New Roman" w:hAnsi="Times New Roman" w:eastAsia="方正仿宋_GBK" w:cs="Times New Roman"/>
                <w:sz w:val="28"/>
                <w:szCs w:val="28"/>
              </w:rPr>
              <w:t>（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Times New Roman" w:hAnsi="Times New Roman" w:eastAsia="方正仿宋_GBK" w:cs="Times New Roman"/>
                <w:sz w:val="28"/>
                <w:szCs w:val="28"/>
              </w:rPr>
              <w:br w:type="textWrapping"/>
            </w:r>
            <w:r>
              <w:rPr>
                <w:rFonts w:hint="eastAsia" w:ascii="Times New Roman" w:hAnsi="Times New Roman" w:eastAsia="方正仿宋_GBK" w:cs="Times New Roman"/>
                <w:sz w:val="28"/>
                <w:szCs w:val="28"/>
              </w:rPr>
              <w:t>（2）对在“信用中国”网站(www.creditchina.gov.cn)、中国政府采购网(www.ccgp.gov.cn)等渠道列入失信被执行人、重大税收违法失信主体、政府采购严重违法失信行为记录名单及其他不符合《中华人民共和国政府采购法》第二十二条规定条件的供应商，不得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trPr>
        <w:tc>
          <w:tcPr>
            <w:tcW w:w="2198" w:type="dxa"/>
            <w:vAlign w:val="center"/>
          </w:tcPr>
          <w:p>
            <w:pPr>
              <w:spacing w:line="560" w:lineRule="exact"/>
              <w:jc w:val="center"/>
              <w:rPr>
                <w:rFonts w:ascii="方正仿宋_GBK" w:eastAsia="方正仿宋_GBK" w:cs="方正仿宋_GBK"/>
                <w:sz w:val="28"/>
                <w:szCs w:val="28"/>
              </w:rPr>
            </w:pPr>
            <w:r>
              <w:rPr>
                <w:rFonts w:hint="eastAsia" w:ascii="方正仿宋_GBK" w:eastAsia="方正仿宋_GBK" w:cs="方正仿宋_GBK"/>
                <w:sz w:val="28"/>
                <w:szCs w:val="28"/>
              </w:rPr>
              <w:t>★</w:t>
            </w:r>
          </w:p>
          <w:p>
            <w:pPr>
              <w:spacing w:line="560" w:lineRule="exact"/>
              <w:jc w:val="center"/>
              <w:rPr>
                <w:rFonts w:ascii="方正仿宋_GBK" w:eastAsia="方正仿宋_GBK" w:cs="方正仿宋_GBK"/>
                <w:sz w:val="28"/>
                <w:szCs w:val="28"/>
              </w:rPr>
            </w:pPr>
            <w:r>
              <w:rPr>
                <w:rFonts w:hint="eastAsia" w:ascii="方正仿宋_GBK" w:eastAsia="方正仿宋_GBK" w:cs="方正仿宋_GBK"/>
                <w:sz w:val="28"/>
                <w:szCs w:val="28"/>
              </w:rPr>
              <w:t>实质性需求</w:t>
            </w:r>
          </w:p>
        </w:tc>
        <w:tc>
          <w:tcPr>
            <w:tcW w:w="6862" w:type="dxa"/>
          </w:tcPr>
          <w:p>
            <w:pPr>
              <w:spacing w:line="4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一、项目情况</w:t>
            </w:r>
          </w:p>
          <w:p>
            <w:pPr>
              <w:spacing w:line="4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1.采购内容</w:t>
            </w:r>
            <w:r>
              <w:rPr>
                <w:rFonts w:hint="eastAsia" w:ascii="Times New Roman" w:hAnsi="Times New Roman" w:eastAsia="方正仿宋_GBK" w:cs="Times New Roman"/>
                <w:sz w:val="28"/>
                <w:szCs w:val="28"/>
                <w:highlight w:val="none"/>
              </w:rPr>
              <w:t>：具体详见工程量清单。总</w:t>
            </w:r>
            <w:r>
              <w:rPr>
                <w:rFonts w:hint="eastAsia" w:ascii="Times New Roman" w:hAnsi="Times New Roman" w:eastAsia="方正仿宋_GBK" w:cs="Times New Roman"/>
                <w:sz w:val="28"/>
                <w:szCs w:val="28"/>
              </w:rPr>
              <w:t>体要求：选用的建筑材料必须为国标产品、符合国家验收标准。</w:t>
            </w:r>
          </w:p>
          <w:p>
            <w:pPr>
              <w:spacing w:line="4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2.招标控制制价及报价说明：</w:t>
            </w:r>
          </w:p>
          <w:p>
            <w:pPr>
              <w:spacing w:line="400" w:lineRule="exact"/>
              <w:rPr>
                <w:rFonts w:ascii="Times New Roman" w:hAnsi="Times New Roman" w:eastAsia="方正仿宋_GBK" w:cs="Times New Roman"/>
                <w:color w:val="auto"/>
                <w:sz w:val="28"/>
                <w:szCs w:val="28"/>
              </w:rPr>
            </w:pPr>
            <w:r>
              <w:rPr>
                <w:rFonts w:hint="eastAsia" w:ascii="Times New Roman" w:hAnsi="Times New Roman" w:eastAsia="方正仿宋_GBK" w:cs="Times New Roman"/>
                <w:sz w:val="28"/>
                <w:szCs w:val="28"/>
              </w:rPr>
              <w:t>2.1本项目招标控制价为</w:t>
            </w:r>
            <w:r>
              <w:rPr>
                <w:rFonts w:hint="eastAsia" w:ascii="Times New Roman" w:hAnsi="Times New Roman" w:eastAsia="方正仿宋_GBK" w:cs="Times New Roman"/>
                <w:sz w:val="28"/>
                <w:szCs w:val="28"/>
                <w:lang w:val="en-US" w:eastAsia="zh-CN"/>
              </w:rPr>
              <w:t>210,218.17</w:t>
            </w:r>
            <w:r>
              <w:rPr>
                <w:rFonts w:hint="eastAsia" w:ascii="Times New Roman" w:hAnsi="Times New Roman" w:eastAsia="方正仿宋_GBK" w:cs="Times New Roman"/>
                <w:sz w:val="28"/>
                <w:szCs w:val="28"/>
              </w:rPr>
              <w:t>元</w:t>
            </w:r>
            <w:r>
              <w:rPr>
                <w:rFonts w:hint="eastAsia" w:ascii="Times New Roman" w:hAnsi="Times New Roman" w:eastAsia="方正仿宋_GBK" w:cs="Times New Roman"/>
                <w:color w:val="auto"/>
                <w:sz w:val="28"/>
                <w:szCs w:val="28"/>
              </w:rPr>
              <w:t>(大写:</w:t>
            </w:r>
            <w:r>
              <w:rPr>
                <w:rFonts w:hint="eastAsia" w:ascii="Times New Roman" w:hAnsi="Times New Roman" w:eastAsia="方正仿宋_GBK" w:cs="Times New Roman"/>
                <w:color w:val="auto"/>
                <w:sz w:val="28"/>
                <w:szCs w:val="28"/>
                <w:lang w:val="en-US" w:eastAsia="zh-CN"/>
              </w:rPr>
              <w:t>贰拾壹万零贰佰壹拾捌元壹角柒分</w:t>
            </w:r>
            <w:r>
              <w:rPr>
                <w:rFonts w:hint="eastAsia" w:ascii="Times New Roman" w:hAnsi="Times New Roman" w:eastAsia="方正仿宋_GBK" w:cs="Times New Roman"/>
                <w:color w:val="auto"/>
                <w:sz w:val="28"/>
                <w:szCs w:val="28"/>
              </w:rPr>
              <w:t>)，超出控制价视为投标无效。</w:t>
            </w:r>
          </w:p>
          <w:p>
            <w:pPr>
              <w:spacing w:line="400" w:lineRule="exact"/>
              <w:rPr>
                <w:rFonts w:hint="eastAsia" w:ascii="Times New Roman" w:hAnsi="Times New Roman" w:eastAsia="方正仿宋_GBK" w:cs="Times New Roman"/>
                <w:color w:val="auto"/>
                <w:sz w:val="28"/>
                <w:szCs w:val="28"/>
              </w:rPr>
            </w:pPr>
            <w:r>
              <w:rPr>
                <w:rFonts w:hint="eastAsia" w:ascii="Times New Roman" w:hAnsi="Times New Roman" w:eastAsia="方正仿宋_GBK" w:cs="Times New Roman"/>
                <w:color w:val="auto"/>
                <w:sz w:val="28"/>
                <w:szCs w:val="28"/>
              </w:rPr>
              <w:t>2.2已标价的工程量清单作为报价的一部分需装订入响应文件，如果响应文件中没有已标价工程量清单视为投标无效。</w:t>
            </w:r>
          </w:p>
          <w:p>
            <w:pPr>
              <w:numPr>
                <w:ilvl w:val="0"/>
                <w:numId w:val="1"/>
              </w:numPr>
              <w:spacing w:line="400" w:lineRule="exact"/>
              <w:rPr>
                <w:rFonts w:hint="eastAsia" w:ascii="Times New Roman" w:hAnsi="Times New Roman" w:eastAsia="方正仿宋_GBK" w:cs="Times New Roman"/>
                <w:color w:val="auto"/>
                <w:sz w:val="28"/>
                <w:szCs w:val="28"/>
                <w:lang w:val="en-US" w:eastAsia="zh-CN"/>
              </w:rPr>
            </w:pPr>
            <w:r>
              <w:rPr>
                <w:rFonts w:hint="eastAsia" w:ascii="Times New Roman" w:hAnsi="Times New Roman" w:eastAsia="方正仿宋_GBK" w:cs="Times New Roman"/>
                <w:color w:val="auto"/>
                <w:sz w:val="28"/>
                <w:szCs w:val="28"/>
                <w:lang w:val="en-US" w:eastAsia="zh-CN"/>
              </w:rPr>
              <w:t>本项目涉及高空作业，供应商须配备项目经理及相应数量施工人员，并持有相关资质证件（高空作业人员须持有效高空作业特种作业操作证，响应文件中至少提供2名人员的高空作业操作证），响应文件提供人员相关证件；项目施工期间统一购置高空作业专项保险，投标时提供保险方案承诺。</w:t>
            </w:r>
          </w:p>
          <w:p>
            <w:pPr>
              <w:spacing w:line="400" w:lineRule="exact"/>
              <w:rPr>
                <w:rFonts w:hint="eastAsia" w:ascii="Times New Roman" w:hAnsi="Times New Roman" w:eastAsia="方正仿宋_GBK" w:cs="Times New Roman"/>
                <w:color w:val="auto"/>
                <w:sz w:val="28"/>
                <w:szCs w:val="28"/>
                <w:lang w:val="en-US" w:eastAsia="zh-CN"/>
              </w:rPr>
            </w:pPr>
            <w:r>
              <w:rPr>
                <w:rFonts w:hint="eastAsia" w:ascii="Times New Roman" w:hAnsi="Times New Roman" w:eastAsia="方正仿宋_GBK" w:cs="Times New Roman"/>
                <w:color w:val="auto"/>
                <w:sz w:val="28"/>
                <w:szCs w:val="28"/>
                <w:lang w:val="en-US" w:eastAsia="zh-CN"/>
              </w:rPr>
              <w:t>供应商须配备专业合规的高空作业防护装置，配齐全套安全防护设施，施工废料统一清运至指定地点；严格执行高空作业安全规范，全程做好防坠、防雨保护，雨季施工需配套防雨施工方案。供应商应对本工程施工全过程（含进场、施工、成品保护、交叉施工、竣工移交前）的现场环境、已有建（构）筑物、设施设备、已完工程成品、半成品、材料、围挡、道路、绿化等承担全面保护责任，做好成品保护、现场保洁及文明施工工作。</w:t>
            </w:r>
          </w:p>
          <w:p>
            <w:pPr>
              <w:spacing w:line="400" w:lineRule="exact"/>
              <w:rPr>
                <w:rFonts w:ascii="Times New Roman" w:hAnsi="Times New Roman" w:eastAsia="方正仿宋_GBK" w:cs="Times New Roman"/>
                <w:color w:val="auto"/>
                <w:sz w:val="28"/>
                <w:szCs w:val="28"/>
              </w:rPr>
            </w:pPr>
            <w:r>
              <w:rPr>
                <w:rFonts w:hint="eastAsia" w:ascii="Times New Roman" w:hAnsi="Times New Roman" w:eastAsia="方正仿宋_GBK" w:cs="Times New Roman"/>
                <w:color w:val="auto"/>
                <w:sz w:val="28"/>
                <w:szCs w:val="28"/>
              </w:rPr>
              <w:t>二、商务要求：</w:t>
            </w:r>
          </w:p>
          <w:p>
            <w:pPr>
              <w:spacing w:line="400" w:lineRule="exact"/>
              <w:rPr>
                <w:rFonts w:ascii="Times New Roman" w:hAnsi="Times New Roman" w:eastAsia="方正仿宋_GBK" w:cs="Times New Roman"/>
                <w:color w:val="auto"/>
                <w:sz w:val="28"/>
                <w:szCs w:val="28"/>
              </w:rPr>
            </w:pPr>
            <w:r>
              <w:rPr>
                <w:rFonts w:ascii="Times New Roman" w:hAnsi="Times New Roman" w:eastAsia="方正仿宋_GBK" w:cs="Times New Roman"/>
                <w:color w:val="auto"/>
                <w:sz w:val="28"/>
                <w:szCs w:val="28"/>
              </w:rPr>
              <w:t>1.工期：</w:t>
            </w:r>
            <w:r>
              <w:rPr>
                <w:rFonts w:hint="eastAsia" w:ascii="Times New Roman" w:hAnsi="Times New Roman" w:eastAsia="方正仿宋_GBK" w:cs="Times New Roman"/>
                <w:color w:val="auto"/>
                <w:sz w:val="28"/>
                <w:szCs w:val="28"/>
              </w:rPr>
              <w:t>合同签订后</w:t>
            </w:r>
            <w:r>
              <w:rPr>
                <w:rFonts w:hint="eastAsia" w:ascii="Times New Roman" w:hAnsi="Times New Roman" w:eastAsia="方正仿宋_GBK" w:cs="Times New Roman"/>
                <w:color w:val="auto"/>
                <w:sz w:val="28"/>
                <w:szCs w:val="28"/>
                <w:lang w:val="en-US" w:eastAsia="zh-CN"/>
              </w:rPr>
              <w:t>2</w:t>
            </w:r>
            <w:r>
              <w:rPr>
                <w:rFonts w:hint="eastAsia" w:ascii="Times New Roman" w:hAnsi="Times New Roman" w:eastAsia="方正仿宋_GBK" w:cs="Times New Roman"/>
                <w:color w:val="auto"/>
                <w:sz w:val="28"/>
                <w:szCs w:val="28"/>
              </w:rPr>
              <w:t>0天内完工；施工地点：呼和浩特国际旅行卫生保健中心（呼和浩特海关口岸门诊部）</w:t>
            </w:r>
          </w:p>
          <w:p>
            <w:pPr>
              <w:spacing w:line="400" w:lineRule="exact"/>
              <w:rPr>
                <w:rFonts w:hint="eastAsia" w:ascii="Times New Roman" w:hAnsi="Times New Roman" w:eastAsia="方正仿宋_GBK" w:cs="Times New Roman"/>
                <w:color w:val="auto"/>
                <w:sz w:val="28"/>
                <w:szCs w:val="28"/>
                <w:lang w:eastAsia="zh-CN"/>
              </w:rPr>
            </w:pPr>
            <w:r>
              <w:rPr>
                <w:rFonts w:ascii="Times New Roman" w:hAnsi="Times New Roman" w:eastAsia="方正仿宋_GBK" w:cs="Times New Roman"/>
                <w:color w:val="auto"/>
                <w:sz w:val="28"/>
                <w:szCs w:val="28"/>
              </w:rPr>
              <w:t>2</w:t>
            </w:r>
            <w:r>
              <w:rPr>
                <w:rFonts w:ascii="Times New Roman" w:hAnsi="Times New Roman" w:eastAsia="方正仿宋_GBK" w:cs="Times New Roman"/>
                <w:color w:val="auto"/>
                <w:sz w:val="28"/>
                <w:szCs w:val="28"/>
                <w:highlight w:val="none"/>
              </w:rPr>
              <w:t>.</w:t>
            </w:r>
            <w:r>
              <w:rPr>
                <w:rFonts w:hint="eastAsia" w:ascii="Times New Roman" w:hAnsi="Times New Roman" w:eastAsia="方正仿宋_GBK" w:cs="Times New Roman"/>
                <w:color w:val="auto"/>
                <w:sz w:val="28"/>
                <w:szCs w:val="28"/>
                <w:highlight w:val="none"/>
              </w:rPr>
              <w:t>支付方式</w:t>
            </w:r>
            <w:r>
              <w:rPr>
                <w:rFonts w:ascii="Times New Roman" w:hAnsi="Times New Roman" w:eastAsia="方正仿宋_GBK" w:cs="Times New Roman"/>
                <w:color w:val="auto"/>
                <w:sz w:val="28"/>
                <w:szCs w:val="28"/>
              </w:rPr>
              <w:t>：</w:t>
            </w:r>
            <w:r>
              <w:rPr>
                <w:rFonts w:hint="eastAsia" w:ascii="Times New Roman" w:hAnsi="Times New Roman" w:eastAsia="方正仿宋_GBK" w:cs="Times New Roman"/>
                <w:color w:val="auto"/>
                <w:sz w:val="28"/>
                <w:szCs w:val="28"/>
                <w:lang w:eastAsia="zh-CN"/>
              </w:rPr>
              <w:t>合同签订后，支付合同总额的30%的款。</w:t>
            </w:r>
          </w:p>
          <w:p>
            <w:pPr>
              <w:spacing w:line="400" w:lineRule="exact"/>
              <w:rPr>
                <w:rFonts w:hint="eastAsia" w:ascii="Times New Roman" w:hAnsi="Times New Roman" w:eastAsia="方正仿宋_GBK" w:cs="Times New Roman"/>
                <w:color w:val="auto"/>
                <w:sz w:val="28"/>
                <w:szCs w:val="28"/>
                <w:lang w:eastAsia="zh-CN"/>
              </w:rPr>
            </w:pPr>
            <w:r>
              <w:rPr>
                <w:rFonts w:hint="eastAsia" w:ascii="Times New Roman" w:hAnsi="Times New Roman" w:eastAsia="方正仿宋_GBK" w:cs="Times New Roman"/>
                <w:color w:val="auto"/>
                <w:sz w:val="28"/>
                <w:szCs w:val="28"/>
                <w:lang w:eastAsia="zh-CN"/>
              </w:rPr>
              <w:t>工程竣工验收合格后，支付合同总额的60%的款。</w:t>
            </w:r>
          </w:p>
          <w:p>
            <w:pPr>
              <w:spacing w:line="400" w:lineRule="exact"/>
              <w:rPr>
                <w:rFonts w:hint="eastAsia" w:ascii="Times New Roman" w:hAnsi="Times New Roman" w:eastAsia="方正仿宋_GBK" w:cs="Times New Roman"/>
                <w:color w:val="auto"/>
                <w:sz w:val="28"/>
                <w:szCs w:val="28"/>
                <w:lang w:val="en-US" w:eastAsia="zh-CN"/>
              </w:rPr>
            </w:pPr>
            <w:r>
              <w:rPr>
                <w:rFonts w:hint="eastAsia" w:ascii="Times New Roman" w:hAnsi="Times New Roman" w:eastAsia="方正仿宋_GBK" w:cs="Times New Roman"/>
                <w:color w:val="auto"/>
                <w:sz w:val="28"/>
                <w:szCs w:val="28"/>
                <w:lang w:val="en-US" w:eastAsia="zh-CN"/>
              </w:rPr>
              <w:t>工程竣工验收合格经第三方审计，支付剩余结算全部工程款。</w:t>
            </w:r>
          </w:p>
          <w:p>
            <w:pPr>
              <w:spacing w:line="400" w:lineRule="exact"/>
              <w:rPr>
                <w:rFonts w:ascii="Times New Roman" w:hAnsi="Times New Roman" w:eastAsia="方正仿宋_GBK" w:cs="Times New Roman"/>
                <w:color w:val="auto"/>
                <w:sz w:val="28"/>
                <w:szCs w:val="28"/>
              </w:rPr>
            </w:pPr>
            <w:r>
              <w:rPr>
                <w:rFonts w:hint="eastAsia" w:ascii="Times New Roman" w:hAnsi="Times New Roman" w:eastAsia="方正仿宋_GBK" w:cs="Times New Roman"/>
                <w:color w:val="auto"/>
                <w:sz w:val="28"/>
                <w:szCs w:val="28"/>
                <w:lang w:val="en-US" w:eastAsia="zh-CN"/>
              </w:rPr>
              <w:t>3.质量保证金：工程竣工验收合格后中标单位向采购人支付工程价款结算总额的3%作为质量保证金，质量保修期满后30日内无息退还。</w:t>
            </w:r>
          </w:p>
          <w:p>
            <w:pPr>
              <w:spacing w:line="400" w:lineRule="exact"/>
              <w:ind w:firstLineChars="0"/>
              <w:rPr>
                <w:rFonts w:ascii="Times New Roman" w:hAnsi="Times New Roman" w:eastAsia="方正仿宋_GBK" w:cs="Times New Roman"/>
                <w:color w:val="auto"/>
                <w:sz w:val="28"/>
                <w:szCs w:val="28"/>
              </w:rPr>
            </w:pPr>
            <w:r>
              <w:rPr>
                <w:rFonts w:hint="eastAsia" w:ascii="Times New Roman" w:hAnsi="Times New Roman" w:eastAsia="方正仿宋_GBK" w:cs="Times New Roman"/>
                <w:color w:val="auto"/>
                <w:sz w:val="28"/>
                <w:szCs w:val="28"/>
                <w:lang w:val="en-US" w:eastAsia="zh-CN"/>
              </w:rPr>
              <w:t>4</w:t>
            </w:r>
            <w:r>
              <w:rPr>
                <w:rFonts w:ascii="Times New Roman" w:hAnsi="Times New Roman" w:eastAsia="方正仿宋_GBK" w:cs="Times New Roman"/>
                <w:color w:val="auto"/>
                <w:sz w:val="28"/>
                <w:szCs w:val="28"/>
              </w:rPr>
              <w:t>.质量要求：符合国家及行业相关规范和标准，满足设计要求。</w:t>
            </w:r>
          </w:p>
          <w:p>
            <w:pPr>
              <w:spacing w:line="400" w:lineRule="exact"/>
              <w:ind w:firstLineChars="0"/>
              <w:rPr>
                <w:rFonts w:ascii="Times New Roman" w:hAnsi="Times New Roman" w:eastAsia="方正仿宋_GBK" w:cs="Times New Roman"/>
                <w:color w:val="auto"/>
                <w:sz w:val="28"/>
                <w:szCs w:val="28"/>
              </w:rPr>
            </w:pPr>
            <w:r>
              <w:rPr>
                <w:rFonts w:hint="eastAsia" w:ascii="Times New Roman" w:hAnsi="Times New Roman" w:eastAsia="方正仿宋_GBK" w:cs="Times New Roman"/>
                <w:color w:val="auto"/>
                <w:sz w:val="28"/>
                <w:szCs w:val="28"/>
                <w:lang w:val="en-US" w:eastAsia="zh-CN"/>
              </w:rPr>
              <w:t>5</w:t>
            </w:r>
            <w:r>
              <w:rPr>
                <w:rFonts w:ascii="Times New Roman" w:hAnsi="Times New Roman" w:eastAsia="方正仿宋_GBK" w:cs="Times New Roman"/>
                <w:color w:val="auto"/>
                <w:sz w:val="28"/>
                <w:szCs w:val="28"/>
              </w:rPr>
              <w:t>.安全要求：确保安全文明施工，执行国家现行相关规定</w:t>
            </w:r>
          </w:p>
          <w:p>
            <w:pPr>
              <w:spacing w:line="400" w:lineRule="exact"/>
              <w:rPr>
                <w:rFonts w:ascii="Times New Roman" w:hAnsi="Times New Roman" w:eastAsia="方正仿宋_GBK" w:cs="Times New Roman"/>
                <w:color w:val="auto"/>
                <w:sz w:val="28"/>
                <w:szCs w:val="28"/>
              </w:rPr>
            </w:pPr>
            <w:r>
              <w:rPr>
                <w:rFonts w:hint="eastAsia" w:ascii="Times New Roman" w:hAnsi="Times New Roman" w:eastAsia="方正仿宋_GBK" w:cs="Times New Roman"/>
                <w:color w:val="auto"/>
                <w:sz w:val="28"/>
                <w:szCs w:val="28"/>
                <w:lang w:val="en-US" w:eastAsia="zh-CN"/>
              </w:rPr>
              <w:t>6</w:t>
            </w:r>
            <w:r>
              <w:rPr>
                <w:rFonts w:ascii="Times New Roman" w:hAnsi="Times New Roman" w:eastAsia="方正仿宋_GBK" w:cs="Times New Roman"/>
                <w:color w:val="auto"/>
                <w:sz w:val="28"/>
                <w:szCs w:val="28"/>
              </w:rPr>
              <w:t>.资质条件：</w:t>
            </w:r>
          </w:p>
          <w:p>
            <w:pPr>
              <w:spacing w:line="400" w:lineRule="exact"/>
              <w:rPr>
                <w:rFonts w:ascii="Times New Roman" w:hAnsi="Times New Roman" w:eastAsia="方正仿宋_GBK" w:cs="Times New Roman"/>
                <w:color w:val="auto"/>
                <w:sz w:val="28"/>
                <w:szCs w:val="28"/>
              </w:rPr>
            </w:pPr>
            <w:r>
              <w:rPr>
                <w:rFonts w:hint="eastAsia" w:ascii="Times New Roman" w:hAnsi="Times New Roman" w:eastAsia="方正仿宋_GBK" w:cs="Times New Roman"/>
                <w:color w:val="auto"/>
                <w:sz w:val="28"/>
                <w:szCs w:val="28"/>
              </w:rPr>
              <w:t>（1）供应商须具备建设行政主管部门颁发的【建筑装修装饰工程专业承包乙级（含）以上</w:t>
            </w:r>
            <w:r>
              <w:rPr>
                <w:rFonts w:hint="eastAsia" w:ascii="Times New Roman" w:hAnsi="Times New Roman" w:eastAsia="方正仿宋_GBK" w:cs="Times New Roman"/>
                <w:color w:val="auto"/>
                <w:sz w:val="28"/>
                <w:szCs w:val="28"/>
                <w:lang w:val="en-US" w:eastAsia="zh-CN"/>
              </w:rPr>
              <w:t>或建筑工程施工总承包乙级（含）以上资质证书</w:t>
            </w:r>
            <w:r>
              <w:rPr>
                <w:rFonts w:hint="eastAsia" w:ascii="Times New Roman" w:hAnsi="Times New Roman" w:eastAsia="方正仿宋_GBK" w:cs="Times New Roman"/>
                <w:color w:val="auto"/>
                <w:sz w:val="28"/>
                <w:szCs w:val="28"/>
              </w:rPr>
              <w:t>】,证书在有效期内(上述资质为住建部最新资质要求(2020年11月30日建市(2020)94号《住房和城乡建设部关于印发建设工程企业资质管理制度改革方案的通知》);如供应商还未申办上述资质,则供应商须具有建设主管部门颁发的【建筑装修装饰工程专业承包</w:t>
            </w:r>
            <w:r>
              <w:rPr>
                <w:rFonts w:hint="eastAsia" w:ascii="Times New Roman" w:hAnsi="Times New Roman" w:eastAsia="方正仿宋_GBK" w:cs="Times New Roman"/>
                <w:color w:val="auto"/>
                <w:sz w:val="28"/>
                <w:szCs w:val="28"/>
                <w:lang w:val="en-US" w:eastAsia="zh-CN"/>
              </w:rPr>
              <w:t>二</w:t>
            </w:r>
            <w:r>
              <w:rPr>
                <w:rFonts w:hint="eastAsia" w:ascii="Times New Roman" w:hAnsi="Times New Roman" w:eastAsia="方正仿宋_GBK" w:cs="Times New Roman"/>
                <w:color w:val="auto"/>
                <w:sz w:val="28"/>
                <w:szCs w:val="28"/>
              </w:rPr>
              <w:t>级（含）以上</w:t>
            </w:r>
            <w:r>
              <w:rPr>
                <w:rFonts w:hint="eastAsia" w:ascii="Times New Roman" w:hAnsi="Times New Roman" w:eastAsia="方正仿宋_GBK" w:cs="Times New Roman"/>
                <w:color w:val="auto"/>
                <w:sz w:val="28"/>
                <w:szCs w:val="28"/>
                <w:lang w:val="en-US" w:eastAsia="zh-CN"/>
              </w:rPr>
              <w:t>或建筑工程施工总承包三级（含）以上资质证书</w:t>
            </w:r>
            <w:r>
              <w:rPr>
                <w:rFonts w:hint="eastAsia" w:ascii="Times New Roman" w:hAnsi="Times New Roman" w:eastAsia="方正仿宋_GBK" w:cs="Times New Roman"/>
                <w:color w:val="auto"/>
                <w:sz w:val="28"/>
                <w:szCs w:val="28"/>
              </w:rPr>
              <w:t>】且证书在有效期内；</w:t>
            </w:r>
            <w:r>
              <w:rPr>
                <w:rFonts w:hint="eastAsia" w:ascii="Times New Roman" w:hAnsi="Times New Roman" w:eastAsia="方正仿宋_GBK" w:cs="Times New Roman"/>
                <w:color w:val="auto"/>
                <w:sz w:val="28"/>
                <w:szCs w:val="28"/>
              </w:rPr>
              <w:br w:type="textWrapping"/>
            </w:r>
            <w:r>
              <w:rPr>
                <w:rFonts w:hint="eastAsia" w:ascii="Times New Roman" w:hAnsi="Times New Roman" w:eastAsia="方正仿宋_GBK" w:cs="Times New Roman"/>
                <w:color w:val="auto"/>
                <w:sz w:val="28"/>
                <w:szCs w:val="28"/>
              </w:rPr>
              <w:t>（2）供应商须具有有效的安全生产许可证，证书在有效期内；</w:t>
            </w:r>
            <w:r>
              <w:rPr>
                <w:rFonts w:hint="eastAsia" w:ascii="Times New Roman" w:hAnsi="Times New Roman" w:eastAsia="方正仿宋_GBK" w:cs="Times New Roman"/>
                <w:color w:val="auto"/>
                <w:sz w:val="28"/>
                <w:szCs w:val="28"/>
              </w:rPr>
              <w:br w:type="textWrapping"/>
            </w:r>
            <w:r>
              <w:rPr>
                <w:rFonts w:hint="eastAsia" w:ascii="Times New Roman" w:hAnsi="Times New Roman" w:eastAsia="方正仿宋_GBK" w:cs="Times New Roman"/>
                <w:color w:val="auto"/>
                <w:sz w:val="28"/>
                <w:szCs w:val="28"/>
              </w:rPr>
              <w:t>（3）项目经理要求：拟派本项目经理须具有:1）、具有有效的本单位注册的建筑工程专业二级（含）以上建造师注册证书；2）、具备有效的安全生产考核合格证书;3）、不得担任其他在建工程项目的项目经理,提供无在建工程项目承诺函(格式自拟，加盖公章）；</w:t>
            </w:r>
          </w:p>
          <w:p>
            <w:pPr>
              <w:spacing w:line="40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lang w:val="en-US" w:eastAsia="zh-CN"/>
              </w:rPr>
              <w:t>7</w:t>
            </w:r>
            <w:r>
              <w:rPr>
                <w:rFonts w:hint="eastAsia" w:ascii="Times New Roman" w:hAnsi="Times New Roman" w:eastAsia="方正仿宋_GBK" w:cs="Times New Roman"/>
                <w:sz w:val="28"/>
                <w:szCs w:val="28"/>
              </w:rPr>
              <w:t>.质</w:t>
            </w:r>
            <w:r>
              <w:rPr>
                <w:rFonts w:hint="eastAsia" w:ascii="Times New Roman" w:hAnsi="Times New Roman" w:eastAsia="方正仿宋_GBK" w:cs="Times New Roman"/>
                <w:sz w:val="28"/>
                <w:szCs w:val="28"/>
                <w:highlight w:val="none"/>
              </w:rPr>
              <w:t>量保修期：按照《建设工程质量管理条例》要求执行，自竣工验收合格之日起计算。</w:t>
            </w:r>
          </w:p>
          <w:p>
            <w:pPr>
              <w:spacing w:line="4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highlight w:val="none"/>
                <w:lang w:val="en-US" w:eastAsia="zh-CN"/>
              </w:rPr>
              <w:t>8.</w:t>
            </w:r>
            <w:r>
              <w:rPr>
                <w:rFonts w:hint="eastAsia" w:ascii="Times New Roman" w:hAnsi="Times New Roman" w:eastAsia="方正仿宋_GBK" w:cs="Times New Roman"/>
                <w:sz w:val="28"/>
                <w:szCs w:val="28"/>
                <w:highlight w:val="none"/>
              </w:rPr>
              <w:t>缺陷责任期：1年，工程通过竣工验收之日起计算。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3" w:hRule="atLeast"/>
        </w:trPr>
        <w:tc>
          <w:tcPr>
            <w:tcW w:w="2198" w:type="dxa"/>
            <w:vAlign w:val="center"/>
          </w:tcPr>
          <w:p>
            <w:pPr>
              <w:spacing w:line="560" w:lineRule="exact"/>
              <w:jc w:val="center"/>
              <w:rPr>
                <w:rFonts w:ascii="方正仿宋_GBK" w:eastAsia="方正仿宋_GBK" w:cs="方正仿宋_GBK"/>
                <w:color w:val="auto"/>
                <w:sz w:val="28"/>
                <w:szCs w:val="28"/>
              </w:rPr>
            </w:pPr>
            <w:r>
              <w:rPr>
                <w:rFonts w:hint="eastAsia" w:ascii="方正仿宋_GBK" w:eastAsia="方正仿宋_GBK" w:cs="方正仿宋_GBK"/>
                <w:color w:val="auto"/>
                <w:sz w:val="28"/>
                <w:szCs w:val="28"/>
              </w:rPr>
              <w:t>评审因素</w:t>
            </w:r>
          </w:p>
        </w:tc>
        <w:tc>
          <w:tcPr>
            <w:tcW w:w="6862" w:type="dxa"/>
          </w:tcPr>
          <w:tbl>
            <w:tblPr>
              <w:tblStyle w:val="8"/>
              <w:tblW w:w="4996" w:type="pct"/>
              <w:tblInd w:w="-14"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0" w:type="dxa"/>
                <w:bottom w:w="0" w:type="dxa"/>
                <w:right w:w="0" w:type="dxa"/>
              </w:tblCellMar>
            </w:tblPr>
            <w:tblGrid>
              <w:gridCol w:w="1111"/>
              <w:gridCol w:w="1390"/>
              <w:gridCol w:w="4125"/>
            </w:tblGrid>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0" w:type="dxa"/>
                  <w:bottom w:w="0" w:type="dxa"/>
                  <w:right w:w="0" w:type="dxa"/>
                </w:tblCellMar>
              </w:tblPrEx>
              <w:trPr>
                <w:trHeight w:val="460" w:hRule="atLeast"/>
              </w:trPr>
              <w:tc>
                <w:tcPr>
                  <w:tcW w:w="838" w:type="pct"/>
                  <w:tcBorders>
                    <w:tl2br w:val="nil"/>
                    <w:tr2bl w:val="nil"/>
                  </w:tcBorders>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评审因素</w:t>
                  </w:r>
                </w:p>
              </w:tc>
              <w:tc>
                <w:tcPr>
                  <w:tcW w:w="4161" w:type="pct"/>
                  <w:gridSpan w:val="2"/>
                  <w:tcBorders>
                    <w:tl2br w:val="nil"/>
                    <w:tr2bl w:val="nil"/>
                  </w:tcBorders>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评审标准</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0" w:type="dxa"/>
                  <w:bottom w:w="0" w:type="dxa"/>
                  <w:right w:w="0" w:type="dxa"/>
                </w:tblCellMar>
              </w:tblPrEx>
              <w:trPr>
                <w:trHeight w:val="967" w:hRule="atLeast"/>
              </w:trPr>
              <w:tc>
                <w:tcPr>
                  <w:tcW w:w="838" w:type="pct"/>
                  <w:tcBorders>
                    <w:tl2br w:val="nil"/>
                    <w:tr2bl w:val="nil"/>
                  </w:tcBorders>
                </w:tcPr>
                <w:p>
                  <w:pPr>
                    <w:jc w:val="center"/>
                    <w:rPr>
                      <w:rFonts w:hint="eastAsia" w:ascii="仿宋" w:hAnsi="仿宋" w:eastAsia="仿宋" w:cs="仿宋"/>
                      <w:color w:val="auto"/>
                      <w:sz w:val="24"/>
                      <w:szCs w:val="24"/>
                    </w:rPr>
                  </w:pP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分值构成</w:t>
                  </w:r>
                </w:p>
              </w:tc>
              <w:tc>
                <w:tcPr>
                  <w:tcW w:w="4161" w:type="pct"/>
                  <w:gridSpan w:val="2"/>
                  <w:tcBorders>
                    <w:tl2br w:val="nil"/>
                    <w:tr2bl w:val="nil"/>
                  </w:tcBorders>
                </w:tcPr>
                <w:p>
                  <w:pPr>
                    <w:pStyle w:val="50"/>
                    <w:spacing w:before="11"/>
                    <w:ind w:left="64"/>
                    <w:rPr>
                      <w:rFonts w:hint="eastAsia" w:ascii="仿宋" w:hAnsi="仿宋" w:eastAsia="仿宋" w:cs="仿宋"/>
                      <w:color w:val="auto"/>
                      <w:sz w:val="24"/>
                      <w:szCs w:val="24"/>
                    </w:rPr>
                  </w:pPr>
                  <w:r>
                    <w:rPr>
                      <w:rFonts w:hint="eastAsia" w:ascii="仿宋" w:hAnsi="仿宋" w:eastAsia="仿宋" w:cs="仿宋"/>
                      <w:color w:val="auto"/>
                      <w:spacing w:val="-3"/>
                      <w:w w:val="105"/>
                      <w:sz w:val="24"/>
                      <w:szCs w:val="24"/>
                    </w:rPr>
                    <w:t>1</w:t>
                  </w:r>
                  <w:r>
                    <w:rPr>
                      <w:rFonts w:hint="eastAsia" w:ascii="仿宋" w:hAnsi="仿宋" w:eastAsia="仿宋" w:cs="仿宋"/>
                      <w:color w:val="auto"/>
                      <w:w w:val="105"/>
                      <w:sz w:val="24"/>
                      <w:szCs w:val="24"/>
                    </w:rPr>
                    <w:t>、技术部分</w:t>
                  </w:r>
                  <w:r>
                    <w:rPr>
                      <w:rFonts w:hint="eastAsia" w:ascii="仿宋" w:hAnsi="仿宋" w:eastAsia="仿宋" w:cs="仿宋"/>
                      <w:color w:val="auto"/>
                      <w:spacing w:val="-3"/>
                      <w:w w:val="105"/>
                      <w:sz w:val="24"/>
                      <w:szCs w:val="24"/>
                      <w:lang w:val="en-US" w:eastAsia="zh-CN"/>
                    </w:rPr>
                    <w:t>64</w:t>
                  </w:r>
                  <w:r>
                    <w:rPr>
                      <w:rFonts w:hint="eastAsia" w:ascii="仿宋" w:hAnsi="仿宋" w:eastAsia="仿宋" w:cs="仿宋"/>
                      <w:color w:val="auto"/>
                      <w:w w:val="105"/>
                      <w:sz w:val="24"/>
                      <w:szCs w:val="24"/>
                    </w:rPr>
                    <w:t>分</w:t>
                  </w:r>
                </w:p>
                <w:p>
                  <w:pPr>
                    <w:pStyle w:val="50"/>
                    <w:ind w:left="64"/>
                    <w:rPr>
                      <w:rFonts w:hint="eastAsia" w:ascii="仿宋" w:hAnsi="仿宋" w:eastAsia="仿宋" w:cs="仿宋"/>
                      <w:color w:val="auto"/>
                      <w:sz w:val="24"/>
                      <w:szCs w:val="24"/>
                    </w:rPr>
                  </w:pPr>
                  <w:r>
                    <w:rPr>
                      <w:rFonts w:hint="eastAsia" w:ascii="仿宋" w:hAnsi="仿宋" w:eastAsia="仿宋" w:cs="仿宋"/>
                      <w:color w:val="auto"/>
                      <w:spacing w:val="-3"/>
                      <w:w w:val="105"/>
                      <w:sz w:val="24"/>
                      <w:szCs w:val="24"/>
                    </w:rPr>
                    <w:t>2</w:t>
                  </w:r>
                  <w:r>
                    <w:rPr>
                      <w:rFonts w:hint="eastAsia" w:ascii="仿宋" w:hAnsi="仿宋" w:eastAsia="仿宋" w:cs="仿宋"/>
                      <w:color w:val="auto"/>
                      <w:w w:val="105"/>
                      <w:sz w:val="24"/>
                      <w:szCs w:val="24"/>
                    </w:rPr>
                    <w:t>、商务部分</w:t>
                  </w:r>
                  <w:r>
                    <w:rPr>
                      <w:rFonts w:hint="eastAsia" w:ascii="仿宋" w:hAnsi="仿宋" w:eastAsia="仿宋" w:cs="仿宋"/>
                      <w:color w:val="auto"/>
                      <w:spacing w:val="-3"/>
                      <w:w w:val="105"/>
                      <w:sz w:val="24"/>
                      <w:szCs w:val="24"/>
                    </w:rPr>
                    <w:t>1</w:t>
                  </w:r>
                  <w:r>
                    <w:rPr>
                      <w:rFonts w:hint="eastAsia" w:ascii="仿宋" w:hAnsi="仿宋" w:eastAsia="仿宋" w:cs="仿宋"/>
                      <w:color w:val="auto"/>
                      <w:spacing w:val="-3"/>
                      <w:w w:val="105"/>
                      <w:sz w:val="24"/>
                      <w:szCs w:val="24"/>
                      <w:lang w:val="en-US" w:eastAsia="zh-CN"/>
                    </w:rPr>
                    <w:t>6</w:t>
                  </w:r>
                  <w:r>
                    <w:rPr>
                      <w:rFonts w:hint="eastAsia" w:ascii="仿宋" w:hAnsi="仿宋" w:eastAsia="仿宋" w:cs="仿宋"/>
                      <w:color w:val="auto"/>
                      <w:w w:val="105"/>
                      <w:sz w:val="24"/>
                      <w:szCs w:val="24"/>
                    </w:rPr>
                    <w:t>分</w:t>
                  </w:r>
                </w:p>
                <w:p>
                  <w:pPr>
                    <w:pStyle w:val="50"/>
                    <w:spacing w:line="326" w:lineRule="exact"/>
                    <w:ind w:left="64"/>
                    <w:rPr>
                      <w:rFonts w:hint="eastAsia" w:ascii="仿宋" w:hAnsi="仿宋" w:eastAsia="仿宋" w:cs="仿宋"/>
                      <w:color w:val="auto"/>
                      <w:sz w:val="24"/>
                      <w:szCs w:val="24"/>
                    </w:rPr>
                  </w:pPr>
                  <w:r>
                    <w:rPr>
                      <w:rFonts w:hint="eastAsia" w:ascii="仿宋" w:hAnsi="仿宋" w:eastAsia="仿宋" w:cs="仿宋"/>
                      <w:color w:val="auto"/>
                      <w:spacing w:val="-3"/>
                      <w:w w:val="105"/>
                      <w:sz w:val="24"/>
                      <w:szCs w:val="24"/>
                    </w:rPr>
                    <w:t>3</w:t>
                  </w:r>
                  <w:r>
                    <w:rPr>
                      <w:rFonts w:hint="eastAsia" w:ascii="仿宋" w:hAnsi="仿宋" w:eastAsia="仿宋" w:cs="仿宋"/>
                      <w:color w:val="auto"/>
                      <w:w w:val="105"/>
                      <w:sz w:val="24"/>
                      <w:szCs w:val="24"/>
                    </w:rPr>
                    <w:t>、</w:t>
                  </w:r>
                  <w:r>
                    <w:rPr>
                      <w:rFonts w:hint="eastAsia" w:ascii="仿宋" w:hAnsi="仿宋" w:eastAsia="仿宋" w:cs="仿宋"/>
                      <w:color w:val="auto"/>
                      <w:w w:val="105"/>
                      <w:sz w:val="24"/>
                      <w:szCs w:val="24"/>
                      <w:highlight w:val="none"/>
                    </w:rPr>
                    <w:t>报价得分</w:t>
                  </w:r>
                  <w:r>
                    <w:rPr>
                      <w:rFonts w:hint="eastAsia" w:ascii="仿宋" w:hAnsi="仿宋" w:eastAsia="仿宋" w:cs="仿宋"/>
                      <w:color w:val="auto"/>
                      <w:spacing w:val="-3"/>
                      <w:w w:val="105"/>
                      <w:sz w:val="24"/>
                      <w:szCs w:val="24"/>
                      <w:highlight w:val="none"/>
                      <w:lang w:val="en-US" w:eastAsia="zh-CN"/>
                    </w:rPr>
                    <w:t>20</w:t>
                  </w:r>
                  <w:r>
                    <w:rPr>
                      <w:rFonts w:hint="eastAsia" w:ascii="仿宋" w:hAnsi="仿宋" w:eastAsia="仿宋" w:cs="仿宋"/>
                      <w:color w:val="auto"/>
                      <w:w w:val="105"/>
                      <w:sz w:val="24"/>
                      <w:szCs w:val="24"/>
                      <w:highlight w:val="none"/>
                    </w:rPr>
                    <w:t>分</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0" w:type="dxa"/>
                  <w:bottom w:w="0" w:type="dxa"/>
                  <w:right w:w="0" w:type="dxa"/>
                </w:tblCellMar>
              </w:tblPrEx>
              <w:trPr>
                <w:trHeight w:val="458" w:hRule="atLeast"/>
              </w:trPr>
              <w:tc>
                <w:tcPr>
                  <w:tcW w:w="838" w:type="pct"/>
                  <w:vMerge w:val="restart"/>
                  <w:tcBorders>
                    <w:tl2br w:val="nil"/>
                    <w:tr2bl w:val="nil"/>
                  </w:tcBorders>
                  <w:vAlign w:val="center"/>
                </w:tcPr>
                <w:p>
                  <w:pPr>
                    <w:pStyle w:val="50"/>
                    <w:spacing w:before="145"/>
                    <w:jc w:val="center"/>
                    <w:rPr>
                      <w:rFonts w:hint="eastAsia" w:ascii="仿宋" w:hAnsi="仿宋" w:eastAsia="仿宋" w:cs="仿宋"/>
                      <w:color w:val="auto"/>
                      <w:sz w:val="24"/>
                      <w:szCs w:val="24"/>
                    </w:rPr>
                  </w:pPr>
                  <w:r>
                    <w:rPr>
                      <w:rFonts w:hint="eastAsia" w:ascii="仿宋" w:hAnsi="仿宋" w:eastAsia="仿宋" w:cs="仿宋"/>
                      <w:color w:val="auto"/>
                      <w:sz w:val="24"/>
                      <w:szCs w:val="24"/>
                    </w:rPr>
                    <w:t>技术部分</w:t>
                  </w:r>
                </w:p>
                <w:p>
                  <w:pPr>
                    <w:pStyle w:val="50"/>
                    <w:spacing w:before="145"/>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64</w:t>
                  </w:r>
                  <w:r>
                    <w:rPr>
                      <w:rFonts w:hint="eastAsia" w:ascii="仿宋" w:hAnsi="仿宋" w:eastAsia="仿宋" w:cs="仿宋"/>
                      <w:color w:val="auto"/>
                      <w:sz w:val="24"/>
                      <w:szCs w:val="24"/>
                    </w:rPr>
                    <w:t>分）</w:t>
                  </w:r>
                </w:p>
              </w:tc>
              <w:tc>
                <w:tcPr>
                  <w:tcW w:w="1049" w:type="pct"/>
                  <w:tcBorders>
                    <w:tl2br w:val="nil"/>
                    <w:tr2bl w:val="nil"/>
                  </w:tcBorders>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施工方案与技术措施 </w:t>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20</w:t>
                  </w:r>
                  <w:r>
                    <w:rPr>
                      <w:rFonts w:hint="eastAsia" w:ascii="仿宋" w:hAnsi="仿宋" w:eastAsia="仿宋" w:cs="仿宋"/>
                      <w:color w:val="auto"/>
                      <w:sz w:val="24"/>
                      <w:szCs w:val="24"/>
                    </w:rPr>
                    <w:t>.0分)</w:t>
                  </w:r>
                </w:p>
              </w:tc>
              <w:tc>
                <w:tcPr>
                  <w:tcW w:w="3112" w:type="pct"/>
                  <w:tcBorders>
                    <w:tl2br w:val="nil"/>
                    <w:tr2bl w:val="nil"/>
                  </w:tcBorders>
                  <w:vAlign w:val="center"/>
                </w:tcPr>
                <w:p>
                  <w:pPr>
                    <w:pStyle w:val="2"/>
                    <w:ind w:firstLine="0" w:firstLineChars="0"/>
                    <w:rPr>
                      <w:rFonts w:hint="eastAsia" w:ascii="仿宋" w:hAnsi="仿宋" w:eastAsia="仿宋" w:cs="仿宋"/>
                      <w:color w:val="auto"/>
                      <w:sz w:val="24"/>
                      <w:szCs w:val="24"/>
                    </w:rPr>
                  </w:pPr>
                  <w:r>
                    <w:rPr>
                      <w:rFonts w:hint="eastAsia" w:ascii="仿宋" w:hAnsi="仿宋" w:eastAsia="仿宋" w:cs="仿宋"/>
                      <w:color w:val="auto"/>
                      <w:sz w:val="24"/>
                      <w:szCs w:val="24"/>
                    </w:rPr>
                    <w:t>根据供应商提供的施工方案与技术措施进行评审：</w:t>
                  </w:r>
                  <w:r>
                    <w:rPr>
                      <w:rFonts w:hint="eastAsia" w:ascii="仿宋" w:hAnsi="仿宋" w:eastAsia="仿宋" w:cs="仿宋"/>
                      <w:color w:val="auto"/>
                      <w:sz w:val="24"/>
                      <w:szCs w:val="24"/>
                      <w:lang w:val="en-US" w:eastAsia="zh-CN"/>
                    </w:rPr>
                    <w:t>①</w:t>
                  </w:r>
                  <w:r>
                    <w:rPr>
                      <w:rFonts w:hint="eastAsia" w:ascii="仿宋" w:hAnsi="仿宋" w:eastAsia="仿宋" w:cs="仿宋"/>
                      <w:color w:val="auto"/>
                      <w:sz w:val="24"/>
                      <w:szCs w:val="24"/>
                    </w:rPr>
                    <w:t>施⼯⽅案：匹配本项⽬施⼯范围制定分区、分时段施⼯规划，明确施⼯区域隔离防护⽅案；</w:t>
                  </w:r>
                  <w:r>
                    <w:rPr>
                      <w:rFonts w:hint="eastAsia" w:ascii="仿宋" w:hAnsi="仿宋" w:eastAsia="仿宋" w:cs="仿宋"/>
                      <w:color w:val="auto"/>
                      <w:sz w:val="24"/>
                      <w:szCs w:val="24"/>
                      <w:lang w:val="en-US" w:eastAsia="zh-CN"/>
                    </w:rPr>
                    <w:t>②</w:t>
                  </w:r>
                  <w:r>
                    <w:rPr>
                      <w:rFonts w:hint="eastAsia" w:ascii="仿宋" w:hAnsi="仿宋" w:eastAsia="仿宋" w:cs="仿宋"/>
                      <w:color w:val="auto"/>
                      <w:sz w:val="24"/>
                      <w:szCs w:val="24"/>
                    </w:rPr>
                    <w:t>技术措施：匹配本项⽬施⼯内容编制完整施⼯⼯艺、标准化作业流程；</w:t>
                  </w:r>
                  <w:r>
                    <w:rPr>
                      <w:rFonts w:hint="eastAsia" w:ascii="仿宋" w:hAnsi="仿宋" w:eastAsia="仿宋" w:cs="仿宋"/>
                      <w:color w:val="auto"/>
                      <w:sz w:val="24"/>
                      <w:szCs w:val="24"/>
                      <w:lang w:val="en-US" w:eastAsia="zh-CN"/>
                    </w:rPr>
                    <w:t>③</w:t>
                  </w:r>
                  <w:r>
                    <w:rPr>
                      <w:rFonts w:hint="eastAsia" w:ascii="仿宋" w:hAnsi="仿宋" w:eastAsia="仿宋" w:cs="仿宋"/>
                      <w:color w:val="auto"/>
                      <w:sz w:val="24"/>
                      <w:szCs w:val="24"/>
                    </w:rPr>
                    <w:t>技术标准：列明匹配本项⽬适⽤的国家、⾏业现⾏施⼯及验收规范清单；</w:t>
                  </w:r>
                  <w:r>
                    <w:rPr>
                      <w:rFonts w:hint="eastAsia" w:ascii="仿宋" w:hAnsi="仿宋" w:eastAsia="仿宋" w:cs="仿宋"/>
                      <w:color w:val="auto"/>
                      <w:sz w:val="24"/>
                      <w:szCs w:val="24"/>
                      <w:lang w:val="en-US" w:eastAsia="zh-CN"/>
                    </w:rPr>
                    <w:t>④</w:t>
                  </w:r>
                  <w:r>
                    <w:rPr>
                      <w:rFonts w:hint="eastAsia" w:ascii="仿宋" w:hAnsi="仿宋" w:eastAsia="仿宋" w:cs="仿宋"/>
                      <w:color w:val="auto"/>
                      <w:sz w:val="24"/>
                      <w:szCs w:val="24"/>
                    </w:rPr>
                    <w:t>恶劣天⽓施⼯保障：结合项⽬⼯况制定⾬季、⾼温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低温</w:t>
                  </w:r>
                  <w:r>
                    <w:rPr>
                      <w:rFonts w:hint="eastAsia" w:ascii="仿宋" w:hAnsi="仿宋" w:eastAsia="仿宋" w:cs="仿宋"/>
                      <w:color w:val="auto"/>
                      <w:sz w:val="24"/>
                      <w:szCs w:val="24"/>
                    </w:rPr>
                    <w:t>等不利条件施⼯保障⽅案；</w:t>
                  </w:r>
                  <w:r>
                    <w:rPr>
                      <w:rFonts w:hint="eastAsia" w:ascii="仿宋" w:hAnsi="仿宋" w:eastAsia="仿宋" w:cs="仿宋"/>
                      <w:color w:val="auto"/>
                      <w:sz w:val="24"/>
                      <w:szCs w:val="24"/>
                      <w:lang w:val="en-US" w:eastAsia="zh-CN"/>
                    </w:rPr>
                    <w:t>⑤</w:t>
                  </w:r>
                  <w:r>
                    <w:rPr>
                      <w:rFonts w:hint="eastAsia" w:ascii="仿宋" w:hAnsi="仿宋" w:eastAsia="仿宋" w:cs="仿宋"/>
                      <w:color w:val="auto"/>
                      <w:sz w:val="24"/>
                      <w:szCs w:val="24"/>
                    </w:rPr>
                    <w:t>现场⼈员管理制度：现场通⾏、作业⾏为管控相关制度；</w:t>
                  </w:r>
                </w:p>
                <w:p>
                  <w:pPr>
                    <w:pStyle w:val="2"/>
                    <w:ind w:firstLine="0" w:firstLineChars="0"/>
                    <w:rPr>
                      <w:rFonts w:hint="eastAsia" w:ascii="仿宋" w:hAnsi="仿宋" w:eastAsia="仿宋" w:cs="仿宋"/>
                      <w:color w:val="auto"/>
                      <w:sz w:val="24"/>
                      <w:szCs w:val="24"/>
                    </w:rPr>
                  </w:pPr>
                  <w:r>
                    <w:rPr>
                      <w:rFonts w:hint="eastAsia" w:ascii="仿宋" w:hAnsi="仿宋" w:eastAsia="仿宋" w:cs="仿宋"/>
                      <w:color w:val="auto"/>
                      <w:sz w:val="24"/>
                      <w:szCs w:val="24"/>
                    </w:rPr>
                    <w:t>针对以上</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项内容进行评审，每项</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分，最高得</w:t>
                  </w:r>
                  <w:r>
                    <w:rPr>
                      <w:rFonts w:hint="eastAsia" w:ascii="仿宋" w:hAnsi="仿宋" w:eastAsia="仿宋" w:cs="仿宋"/>
                      <w:color w:val="auto"/>
                      <w:sz w:val="24"/>
                      <w:szCs w:val="24"/>
                      <w:lang w:val="en-US" w:eastAsia="zh-CN"/>
                    </w:rPr>
                    <w:t>20</w:t>
                  </w:r>
                  <w:r>
                    <w:rPr>
                      <w:rFonts w:hint="eastAsia" w:ascii="仿宋" w:hAnsi="仿宋" w:eastAsia="仿宋" w:cs="仿宋"/>
                      <w:color w:val="auto"/>
                      <w:sz w:val="24"/>
                      <w:szCs w:val="24"/>
                    </w:rPr>
                    <w:t>分，每缺少一项内容扣</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分，每项中每存在一处缺陷扣</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每项</w:t>
                  </w:r>
                  <w:r>
                    <w:rPr>
                      <w:rFonts w:hint="eastAsia" w:ascii="仿宋" w:hAnsi="仿宋" w:eastAsia="仿宋" w:cs="仿宋"/>
                      <w:color w:val="auto"/>
                      <w:sz w:val="24"/>
                      <w:szCs w:val="24"/>
                    </w:rPr>
                    <w:t>最多扣</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分。（注：“缺陷”指以下任意一种情形：内容不切合行业实际、不符合国家法规政策；或内容凭空编造，与实际情况不符存在偏差；或内容过于简略；或存在与项目无关的文字内容；或内容不适用项目实际情况；或内容逻辑漏洞或原理错误；或地点区域错误；或套用其他项目方案；或前后内容互相矛盾；或专业领域知识阐述有误。）</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0" w:type="dxa"/>
                  <w:bottom w:w="0" w:type="dxa"/>
                  <w:right w:w="0" w:type="dxa"/>
                </w:tblCellMar>
              </w:tblPrEx>
              <w:trPr>
                <w:trHeight w:val="611" w:hRule="atLeast"/>
              </w:trPr>
              <w:tc>
                <w:tcPr>
                  <w:tcW w:w="838" w:type="pct"/>
                  <w:vMerge w:val="continue"/>
                  <w:tcBorders>
                    <w:tl2br w:val="nil"/>
                    <w:tr2bl w:val="nil"/>
                  </w:tcBorders>
                </w:tcPr>
                <w:p>
                  <w:pPr>
                    <w:pStyle w:val="50"/>
                    <w:spacing w:before="145"/>
                    <w:jc w:val="center"/>
                    <w:rPr>
                      <w:rFonts w:hint="eastAsia" w:ascii="仿宋" w:hAnsi="仿宋" w:eastAsia="仿宋" w:cs="仿宋"/>
                      <w:color w:val="auto"/>
                      <w:sz w:val="24"/>
                      <w:szCs w:val="24"/>
                    </w:rPr>
                  </w:pPr>
                </w:p>
              </w:tc>
              <w:tc>
                <w:tcPr>
                  <w:tcW w:w="1049" w:type="pct"/>
                  <w:tcBorders>
                    <w:tl2br w:val="nil"/>
                    <w:tr2bl w:val="nil"/>
                  </w:tcBorders>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施工进度计划与保证措施</w:t>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(8.0分)</w:t>
                  </w:r>
                </w:p>
              </w:tc>
              <w:tc>
                <w:tcPr>
                  <w:tcW w:w="3112" w:type="pct"/>
                  <w:tcBorders>
                    <w:tl2br w:val="nil"/>
                    <w:tr2bl w:val="nil"/>
                  </w:tcBorders>
                  <w:vAlign w:val="center"/>
                </w:tcPr>
                <w:p>
                  <w:pPr>
                    <w:rPr>
                      <w:rFonts w:hint="eastAsia" w:ascii="仿宋" w:hAnsi="仿宋" w:eastAsia="仿宋" w:cs="仿宋"/>
                      <w:color w:val="auto"/>
                      <w:sz w:val="24"/>
                      <w:szCs w:val="24"/>
                    </w:rPr>
                  </w:pPr>
                  <w:r>
                    <w:rPr>
                      <w:rFonts w:hint="eastAsia" w:ascii="仿宋" w:hAnsi="仿宋" w:eastAsia="仿宋" w:cs="仿宋"/>
                      <w:color w:val="auto"/>
                      <w:sz w:val="24"/>
                      <w:szCs w:val="24"/>
                    </w:rPr>
                    <w:t>根据供应商提供的施工进度计划与保证措施进行评审：①施工进度计划表；②详细的进度计划；③主要工序衔接度；④进度保障措施等。</w:t>
                  </w:r>
                </w:p>
                <w:p>
                  <w:pPr>
                    <w:pStyle w:val="2"/>
                    <w:ind w:firstLine="0" w:firstLineChars="0"/>
                    <w:rPr>
                      <w:rFonts w:hint="eastAsia" w:ascii="仿宋" w:hAnsi="仿宋" w:eastAsia="仿宋" w:cs="仿宋"/>
                      <w:color w:val="auto"/>
                      <w:sz w:val="24"/>
                      <w:szCs w:val="24"/>
                    </w:rPr>
                  </w:pPr>
                  <w:r>
                    <w:rPr>
                      <w:rFonts w:hint="eastAsia" w:ascii="仿宋" w:hAnsi="仿宋" w:eastAsia="仿宋" w:cs="仿宋"/>
                      <w:color w:val="auto"/>
                      <w:sz w:val="24"/>
                      <w:szCs w:val="24"/>
                    </w:rPr>
                    <w:t>针对以上4项内容进行评审，每项2分，最高得8分，每缺少一项内容扣2分，每项中每存在一处缺陷扣1分，</w:t>
                  </w:r>
                  <w:r>
                    <w:rPr>
                      <w:rFonts w:hint="eastAsia" w:ascii="仿宋" w:hAnsi="仿宋" w:eastAsia="仿宋" w:cs="仿宋"/>
                      <w:color w:val="auto"/>
                      <w:sz w:val="24"/>
                      <w:szCs w:val="24"/>
                      <w:lang w:val="en-US" w:eastAsia="zh-CN"/>
                    </w:rPr>
                    <w:t>每项</w:t>
                  </w:r>
                  <w:r>
                    <w:rPr>
                      <w:rFonts w:hint="eastAsia" w:ascii="仿宋" w:hAnsi="仿宋" w:eastAsia="仿宋" w:cs="仿宋"/>
                      <w:color w:val="auto"/>
                      <w:sz w:val="24"/>
                      <w:szCs w:val="24"/>
                    </w:rPr>
                    <w:t>最多扣2分。（注：“缺陷”指以下任意一种情形：内容不切合行业实际、不符合国家法规政策；或内容凭空编造，与实际情况不符存在偏差；或内容过于简略；或存在与项目无关的文字内容；或内容不适用项目实际情况；或内容逻辑漏洞或原理错误；或地点区域错误；或套用其他项目方案；或前后内容互相矛盾；或专业领域知识阐述有误。）</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0" w:type="dxa"/>
                  <w:bottom w:w="0" w:type="dxa"/>
                  <w:right w:w="0" w:type="dxa"/>
                </w:tblCellMar>
              </w:tblPrEx>
              <w:trPr>
                <w:trHeight w:val="1441" w:hRule="atLeast"/>
              </w:trPr>
              <w:tc>
                <w:tcPr>
                  <w:tcW w:w="838" w:type="pct"/>
                  <w:vMerge w:val="continue"/>
                  <w:tcBorders>
                    <w:tl2br w:val="nil"/>
                    <w:tr2bl w:val="nil"/>
                  </w:tcBorders>
                </w:tcPr>
                <w:p>
                  <w:pPr>
                    <w:pStyle w:val="50"/>
                    <w:spacing w:before="145"/>
                    <w:jc w:val="center"/>
                    <w:rPr>
                      <w:rFonts w:hint="eastAsia" w:ascii="仿宋" w:hAnsi="仿宋" w:eastAsia="仿宋" w:cs="仿宋"/>
                      <w:color w:val="auto"/>
                      <w:sz w:val="24"/>
                      <w:szCs w:val="24"/>
                    </w:rPr>
                  </w:pPr>
                </w:p>
              </w:tc>
              <w:tc>
                <w:tcPr>
                  <w:tcW w:w="1049" w:type="pct"/>
                  <w:tcBorders>
                    <w:tl2br w:val="nil"/>
                    <w:tr2bl w:val="nil"/>
                  </w:tcBorders>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施工季节、施工重点难点解决方</w:t>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案(6.0分)</w:t>
                  </w:r>
                </w:p>
              </w:tc>
              <w:tc>
                <w:tcPr>
                  <w:tcW w:w="3112" w:type="pct"/>
                  <w:tcBorders>
                    <w:tl2br w:val="nil"/>
                    <w:tr2bl w:val="nil"/>
                  </w:tcBorders>
                  <w:vAlign w:val="center"/>
                </w:tcPr>
                <w:p>
                  <w:pPr>
                    <w:rPr>
                      <w:rFonts w:hint="eastAsia" w:ascii="仿宋" w:hAnsi="仿宋" w:eastAsia="仿宋" w:cs="仿宋"/>
                      <w:color w:val="auto"/>
                      <w:sz w:val="24"/>
                      <w:szCs w:val="24"/>
                    </w:rPr>
                  </w:pPr>
                  <w:r>
                    <w:rPr>
                      <w:rFonts w:hint="eastAsia" w:ascii="仿宋" w:hAnsi="仿宋" w:eastAsia="仿宋" w:cs="仿宋"/>
                      <w:color w:val="auto"/>
                      <w:sz w:val="24"/>
                      <w:szCs w:val="24"/>
                    </w:rPr>
                    <w:t>根据供应商提供的施工季节、施工重点难点解决方案进行评审：①工程关键点控制方案；②针对</w:t>
                  </w:r>
                  <w:r>
                    <w:rPr>
                      <w:rFonts w:hint="eastAsia" w:ascii="仿宋" w:hAnsi="仿宋" w:eastAsia="仿宋" w:cs="仿宋"/>
                      <w:color w:val="auto"/>
                      <w:sz w:val="24"/>
                      <w:szCs w:val="24"/>
                      <w:lang w:val="en-US" w:eastAsia="zh-CN"/>
                    </w:rPr>
                    <w:t>季节</w:t>
                  </w:r>
                  <w:r>
                    <w:rPr>
                      <w:rFonts w:hint="eastAsia" w:ascii="仿宋" w:hAnsi="仿宋" w:eastAsia="仿宋" w:cs="仿宋"/>
                      <w:color w:val="auto"/>
                      <w:sz w:val="24"/>
                      <w:szCs w:val="24"/>
                    </w:rPr>
                    <w:t>施工保障措施；③重点、难点解决方案等。</w:t>
                  </w:r>
                </w:p>
                <w:p>
                  <w:pPr>
                    <w:pStyle w:val="2"/>
                    <w:ind w:firstLine="0" w:firstLineChars="0"/>
                    <w:rPr>
                      <w:rFonts w:hint="eastAsia" w:ascii="仿宋" w:hAnsi="仿宋" w:eastAsia="仿宋" w:cs="仿宋"/>
                      <w:color w:val="auto"/>
                      <w:sz w:val="24"/>
                      <w:szCs w:val="24"/>
                    </w:rPr>
                  </w:pPr>
                  <w:r>
                    <w:rPr>
                      <w:rFonts w:hint="eastAsia" w:ascii="仿宋" w:hAnsi="仿宋" w:eastAsia="仿宋" w:cs="仿宋"/>
                      <w:color w:val="auto"/>
                      <w:sz w:val="24"/>
                      <w:szCs w:val="24"/>
                    </w:rPr>
                    <w:t>针对以上3项内容进行评审，每项2分，最高得6分，每缺少一项内容扣2分，每项中每存在一处缺陷扣1分，</w:t>
                  </w:r>
                  <w:r>
                    <w:rPr>
                      <w:rFonts w:hint="eastAsia" w:ascii="仿宋" w:hAnsi="仿宋" w:eastAsia="仿宋" w:cs="仿宋"/>
                      <w:color w:val="auto"/>
                      <w:sz w:val="24"/>
                      <w:szCs w:val="24"/>
                      <w:lang w:val="en-US" w:eastAsia="zh-CN"/>
                    </w:rPr>
                    <w:t>每项</w:t>
                  </w:r>
                  <w:r>
                    <w:rPr>
                      <w:rFonts w:hint="eastAsia" w:ascii="仿宋" w:hAnsi="仿宋" w:eastAsia="仿宋" w:cs="仿宋"/>
                      <w:color w:val="auto"/>
                      <w:sz w:val="24"/>
                      <w:szCs w:val="24"/>
                    </w:rPr>
                    <w:t>最多扣2分。（注：“缺陷”指以下任意一种情形：内容不切合行业实际、不符合国家法规政策；或内容凭空编造，与实际情况不符存在偏差；或内容过于简略；或存在与项目无关的文字内容；或内容不适用项目实际情况；或内容逻辑漏洞或原理错误；或地点区域错误；或套用其他项目方案；或前后内容互相矛盾；或专业领域知识阐述有误。）</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0" w:type="dxa"/>
                  <w:bottom w:w="0" w:type="dxa"/>
                  <w:right w:w="0" w:type="dxa"/>
                </w:tblCellMar>
              </w:tblPrEx>
              <w:trPr>
                <w:trHeight w:val="594" w:hRule="atLeast"/>
              </w:trPr>
              <w:tc>
                <w:tcPr>
                  <w:tcW w:w="838" w:type="pct"/>
                  <w:vMerge w:val="continue"/>
                  <w:tcBorders>
                    <w:tl2br w:val="nil"/>
                    <w:tr2bl w:val="nil"/>
                  </w:tcBorders>
                </w:tcPr>
                <w:p>
                  <w:pPr>
                    <w:pStyle w:val="50"/>
                    <w:spacing w:before="145"/>
                    <w:jc w:val="center"/>
                    <w:rPr>
                      <w:rFonts w:hint="eastAsia" w:ascii="仿宋" w:hAnsi="仿宋" w:eastAsia="仿宋" w:cs="仿宋"/>
                      <w:color w:val="auto"/>
                      <w:sz w:val="24"/>
                      <w:szCs w:val="24"/>
                    </w:rPr>
                  </w:pPr>
                </w:p>
              </w:tc>
              <w:tc>
                <w:tcPr>
                  <w:tcW w:w="1049" w:type="pct"/>
                  <w:tcBorders>
                    <w:tl2br w:val="nil"/>
                    <w:tr2bl w:val="nil"/>
                  </w:tcBorders>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质量管理措施(</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.0分)</w:t>
                  </w:r>
                </w:p>
              </w:tc>
              <w:tc>
                <w:tcPr>
                  <w:tcW w:w="3112" w:type="pct"/>
                  <w:tcBorders>
                    <w:tl2br w:val="nil"/>
                    <w:tr2bl w:val="nil"/>
                  </w:tcBorders>
                  <w:vAlign w:val="center"/>
                </w:tcPr>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根据供应商提供的质量管理措施进行评审：①质量控制计划；②材料质量保障措施；③施工过程控制及质量把控措施等</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④质量通病防治；</w:t>
                  </w:r>
                </w:p>
                <w:p>
                  <w:pPr>
                    <w:rPr>
                      <w:rFonts w:hint="eastAsia" w:ascii="仿宋" w:hAnsi="仿宋" w:eastAsia="仿宋" w:cs="仿宋"/>
                      <w:color w:val="auto"/>
                      <w:sz w:val="24"/>
                      <w:szCs w:val="24"/>
                    </w:rPr>
                  </w:pPr>
                  <w:r>
                    <w:rPr>
                      <w:rFonts w:hint="eastAsia" w:ascii="仿宋" w:hAnsi="仿宋" w:eastAsia="仿宋" w:cs="仿宋"/>
                      <w:color w:val="auto"/>
                      <w:sz w:val="24"/>
                      <w:szCs w:val="24"/>
                    </w:rPr>
                    <w:t>针对以上</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项内容进行评审，每项</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分，最高得6分，每缺少一项内容扣</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分，每项中每存在一处缺陷扣</w:t>
                  </w:r>
                  <w:r>
                    <w:rPr>
                      <w:rFonts w:hint="eastAsia" w:ascii="仿宋" w:hAnsi="仿宋" w:eastAsia="仿宋" w:cs="仿宋"/>
                      <w:color w:val="auto"/>
                      <w:sz w:val="24"/>
                      <w:szCs w:val="24"/>
                      <w:lang w:val="en-US" w:eastAsia="zh-CN"/>
                    </w:rPr>
                    <w:t>0.75</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每项</w:t>
                  </w:r>
                  <w:r>
                    <w:rPr>
                      <w:rFonts w:hint="eastAsia" w:ascii="仿宋" w:hAnsi="仿宋" w:eastAsia="仿宋" w:cs="仿宋"/>
                      <w:color w:val="auto"/>
                      <w:sz w:val="24"/>
                      <w:szCs w:val="24"/>
                    </w:rPr>
                    <w:t>最多扣</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分。（注：“缺陷”指以下任意一种情形：内容不切合行业实际、不符合国家法规政策；或内容凭空编造，与实际情况不符存在偏差；或内容过于简略；或存在与项目无关的文字内容；或内容不适用项目实际情况；或内容逻辑漏洞或原理错误；或地点区域错误；或套用其他项目方案；或前后内容互相矛盾；或专业领域知识阐述有误。）</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0" w:type="dxa"/>
                  <w:bottom w:w="0" w:type="dxa"/>
                  <w:right w:w="0" w:type="dxa"/>
                </w:tblCellMar>
              </w:tblPrEx>
              <w:trPr>
                <w:trHeight w:val="1430" w:hRule="atLeast"/>
              </w:trPr>
              <w:tc>
                <w:tcPr>
                  <w:tcW w:w="838" w:type="pct"/>
                  <w:vMerge w:val="continue"/>
                  <w:tcBorders>
                    <w:tl2br w:val="nil"/>
                    <w:tr2bl w:val="nil"/>
                  </w:tcBorders>
                </w:tcPr>
                <w:p>
                  <w:pPr>
                    <w:pStyle w:val="50"/>
                    <w:spacing w:before="145"/>
                    <w:jc w:val="center"/>
                    <w:rPr>
                      <w:rFonts w:hint="eastAsia" w:ascii="仿宋" w:hAnsi="仿宋" w:eastAsia="仿宋" w:cs="仿宋"/>
                      <w:color w:val="auto"/>
                      <w:sz w:val="24"/>
                      <w:szCs w:val="24"/>
                    </w:rPr>
                  </w:pPr>
                </w:p>
              </w:tc>
              <w:tc>
                <w:tcPr>
                  <w:tcW w:w="1049" w:type="pct"/>
                  <w:tcBorders>
                    <w:tl2br w:val="nil"/>
                    <w:tr2bl w:val="nil"/>
                  </w:tcBorders>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highlight w:val="none"/>
                    </w:rPr>
                    <w:t>环境管理体系与措施(</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.0分)</w:t>
                  </w:r>
                </w:p>
              </w:tc>
              <w:tc>
                <w:tcPr>
                  <w:tcW w:w="3112" w:type="pct"/>
                  <w:tcBorders>
                    <w:tl2br w:val="nil"/>
                    <w:tr2bl w:val="nil"/>
                  </w:tcBorders>
                  <w:vAlign w:val="center"/>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根据供应商提供的环境管理体系与措施</w:t>
                  </w:r>
                  <w:r>
                    <w:rPr>
                      <w:rFonts w:hint="eastAsia" w:ascii="仿宋" w:hAnsi="仿宋" w:eastAsia="仿宋" w:cs="仿宋"/>
                      <w:color w:val="auto"/>
                      <w:sz w:val="24"/>
                      <w:szCs w:val="24"/>
                      <w:highlight w:val="none"/>
                      <w:lang w:val="en-US" w:eastAsia="zh-CN"/>
                    </w:rPr>
                    <w:t>进行综合评审</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①</w:t>
                  </w:r>
                  <w:r>
                    <w:rPr>
                      <w:rFonts w:hint="eastAsia" w:ascii="仿宋" w:hAnsi="仿宋" w:eastAsia="仿宋" w:cs="仿宋"/>
                      <w:color w:val="auto"/>
                      <w:sz w:val="24"/>
                      <w:szCs w:val="24"/>
                      <w:highlight w:val="none"/>
                    </w:rPr>
                    <w:t>扬尘控制：针对本项⽬作业配套降尘施⼯措施；</w:t>
                  </w: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rPr>
                    <w:t>噪声控制：分时段管控⾼噪⾳作业，配备匹配项⽬施⼯需求的低噪设备；</w:t>
                  </w: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rPr>
                    <w:t>建筑垃圾管理：施⼯废料存放、及时清运，配套合规运输及消纳处置⽅案；</w:t>
                  </w:r>
                  <w:r>
                    <w:rPr>
                      <w:rFonts w:hint="eastAsia"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rPr>
                    <w:t>有害⽓体管控：本项⽬涉及涂装、防⽔等挥发性材料的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配套环保材料检测、通⻛管控措施；</w:t>
                  </w:r>
                  <w:r>
                    <w:rPr>
                      <w:rFonts w:hint="eastAsia" w:ascii="仿宋" w:hAnsi="仿宋" w:eastAsia="仿宋" w:cs="仿宋"/>
                      <w:color w:val="auto"/>
                      <w:sz w:val="24"/>
                      <w:szCs w:val="24"/>
                      <w:highlight w:val="none"/>
                      <w:lang w:val="en-US" w:eastAsia="zh-CN"/>
                    </w:rPr>
                    <w:t>⑤</w:t>
                  </w:r>
                  <w:r>
                    <w:rPr>
                      <w:rFonts w:hint="eastAsia" w:ascii="仿宋" w:hAnsi="仿宋" w:eastAsia="仿宋" w:cs="仿宋"/>
                      <w:color w:val="auto"/>
                      <w:sz w:val="24"/>
                      <w:szCs w:val="24"/>
                      <w:highlight w:val="none"/>
                    </w:rPr>
                    <w:t>污⽔处理：施⼯废⽔处理⽅案。</w:t>
                  </w:r>
                </w:p>
                <w:p>
                  <w:pPr>
                    <w:pStyle w:val="2"/>
                    <w:ind w:left="0" w:leftChars="0" w:firstLine="0" w:firstLineChars="0"/>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针对以上5项内容进行评审，每项1.4分，最高得7分，每缺少一项内容扣1.4分，每项中每存在一处缺陷扣0.7分，每项最多扣1.4分。（注：“缺陷”指以下任意一种情形：内容不切合行业实际、不符合国家法规政策；或内容凭空编造，与实际情况不符存在偏差；或内容过于简略；或存在与项目无关的文字内容；或内容不适用项目实际情况；或内容逻辑漏洞或原理错误；或地点区域错误；或套用其他项目方案；或前后内容互相矛盾；或专业领域知识阐述有误。）</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0" w:type="dxa"/>
                  <w:bottom w:w="0" w:type="dxa"/>
                  <w:right w:w="0" w:type="dxa"/>
                </w:tblCellMar>
              </w:tblPrEx>
              <w:trPr>
                <w:trHeight w:val="1430" w:hRule="atLeast"/>
              </w:trPr>
              <w:tc>
                <w:tcPr>
                  <w:tcW w:w="838" w:type="pct"/>
                  <w:vMerge w:val="continue"/>
                  <w:tcBorders>
                    <w:tl2br w:val="nil"/>
                    <w:tr2bl w:val="nil"/>
                  </w:tcBorders>
                </w:tcPr>
                <w:p>
                  <w:pPr>
                    <w:pStyle w:val="50"/>
                    <w:spacing w:before="145"/>
                    <w:jc w:val="center"/>
                    <w:rPr>
                      <w:rFonts w:hint="eastAsia" w:ascii="仿宋" w:hAnsi="仿宋" w:eastAsia="仿宋" w:cs="仿宋"/>
                      <w:color w:val="auto"/>
                      <w:sz w:val="24"/>
                      <w:szCs w:val="24"/>
                    </w:rPr>
                  </w:pPr>
                </w:p>
              </w:tc>
              <w:tc>
                <w:tcPr>
                  <w:tcW w:w="1049" w:type="pct"/>
                  <w:tcBorders>
                    <w:tl2br w:val="nil"/>
                    <w:tr2bl w:val="nil"/>
                  </w:tcBorders>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节能环保技术措施</w:t>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(6.0分)</w:t>
                  </w:r>
                </w:p>
              </w:tc>
              <w:tc>
                <w:tcPr>
                  <w:tcW w:w="3112" w:type="pct"/>
                  <w:tcBorders>
                    <w:tl2br w:val="nil"/>
                    <w:tr2bl w:val="nil"/>
                  </w:tcBorders>
                  <w:vAlign w:val="center"/>
                </w:tcPr>
                <w:p>
                  <w:pPr>
                    <w:rPr>
                      <w:rFonts w:hint="eastAsia" w:ascii="仿宋" w:hAnsi="仿宋" w:eastAsia="仿宋" w:cs="仿宋"/>
                      <w:color w:val="auto"/>
                      <w:sz w:val="24"/>
                      <w:szCs w:val="24"/>
                    </w:rPr>
                  </w:pPr>
                  <w:r>
                    <w:rPr>
                      <w:rFonts w:hint="eastAsia" w:ascii="仿宋" w:hAnsi="仿宋" w:eastAsia="仿宋" w:cs="仿宋"/>
                      <w:color w:val="auto"/>
                      <w:sz w:val="24"/>
                      <w:szCs w:val="24"/>
                    </w:rPr>
                    <w:t>根据供应商提供的节能环保</w:t>
                  </w:r>
                  <w:r>
                    <w:rPr>
                      <w:rFonts w:hint="eastAsia" w:ascii="仿宋" w:hAnsi="仿宋" w:eastAsia="仿宋" w:cs="仿宋"/>
                      <w:color w:val="auto"/>
                      <w:sz w:val="24"/>
                      <w:szCs w:val="24"/>
                      <w:lang w:val="en-US" w:eastAsia="zh-CN"/>
                    </w:rPr>
                    <w:t>技术</w:t>
                  </w:r>
                  <w:r>
                    <w:rPr>
                      <w:rFonts w:hint="eastAsia" w:ascii="仿宋" w:hAnsi="仿宋" w:eastAsia="仿宋" w:cs="仿宋"/>
                      <w:color w:val="auto"/>
                      <w:sz w:val="24"/>
                      <w:szCs w:val="24"/>
                    </w:rPr>
                    <w:t>措施进行评审：①节材与材料资源利用；②节水与水资源利用；③节能与能源利用；</w:t>
                  </w:r>
                </w:p>
                <w:p>
                  <w:pPr>
                    <w:rPr>
                      <w:rFonts w:hint="eastAsia" w:ascii="仿宋" w:hAnsi="仿宋" w:eastAsia="仿宋" w:cs="仿宋"/>
                      <w:color w:val="auto"/>
                      <w:sz w:val="24"/>
                      <w:szCs w:val="24"/>
                    </w:rPr>
                  </w:pPr>
                  <w:r>
                    <w:rPr>
                      <w:rFonts w:hint="eastAsia" w:ascii="仿宋" w:hAnsi="仿宋" w:eastAsia="仿宋" w:cs="仿宋"/>
                      <w:color w:val="auto"/>
                      <w:sz w:val="24"/>
                      <w:szCs w:val="24"/>
                    </w:rPr>
                    <w:t>针对以上3项内容进行评审，每项2分，最高得6分，每缺少一项内容扣2分，每项中每存在一处缺陷扣1分，</w:t>
                  </w:r>
                  <w:r>
                    <w:rPr>
                      <w:rFonts w:hint="eastAsia" w:ascii="仿宋" w:hAnsi="仿宋" w:eastAsia="仿宋" w:cs="仿宋"/>
                      <w:color w:val="auto"/>
                      <w:sz w:val="24"/>
                      <w:szCs w:val="24"/>
                      <w:lang w:val="en-US" w:eastAsia="zh-CN"/>
                    </w:rPr>
                    <w:t>每项</w:t>
                  </w:r>
                  <w:r>
                    <w:rPr>
                      <w:rFonts w:hint="eastAsia" w:ascii="仿宋" w:hAnsi="仿宋" w:eastAsia="仿宋" w:cs="仿宋"/>
                      <w:color w:val="auto"/>
                      <w:sz w:val="24"/>
                      <w:szCs w:val="24"/>
                    </w:rPr>
                    <w:t>最多扣2分。（注：“缺陷”指以下任意一种情形：内容不切合行业实际、不符合国家法规政策；或内容凭空编造，与实际情况不符存在偏差；或内容过于简略；或存在与项目无关的文字内容；或内容不适用项目实际情况；或内容逻辑漏洞或原理错误；或地点区域错误；或套用其他项目方案；或前后内容互相矛盾；或专业领域知识阐述有误。）</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0" w:type="dxa"/>
                  <w:bottom w:w="0" w:type="dxa"/>
                  <w:right w:w="0" w:type="dxa"/>
                </w:tblCellMar>
              </w:tblPrEx>
              <w:trPr>
                <w:trHeight w:val="530" w:hRule="atLeast"/>
              </w:trPr>
              <w:tc>
                <w:tcPr>
                  <w:tcW w:w="838" w:type="pct"/>
                  <w:vMerge w:val="continue"/>
                  <w:tcBorders>
                    <w:tl2br w:val="nil"/>
                    <w:tr2bl w:val="nil"/>
                  </w:tcBorders>
                </w:tcPr>
                <w:p>
                  <w:pPr>
                    <w:pStyle w:val="50"/>
                    <w:spacing w:before="145"/>
                    <w:jc w:val="center"/>
                    <w:rPr>
                      <w:rFonts w:hint="eastAsia" w:ascii="仿宋" w:hAnsi="仿宋" w:eastAsia="仿宋" w:cs="仿宋"/>
                      <w:color w:val="auto"/>
                      <w:sz w:val="24"/>
                      <w:szCs w:val="24"/>
                    </w:rPr>
                  </w:pPr>
                </w:p>
              </w:tc>
              <w:tc>
                <w:tcPr>
                  <w:tcW w:w="1049" w:type="pct"/>
                  <w:tcBorders>
                    <w:tl2br w:val="nil"/>
                    <w:tr2bl w:val="nil"/>
                  </w:tcBorders>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安全管理体系与措施</w:t>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.0分）</w:t>
                  </w:r>
                </w:p>
              </w:tc>
              <w:tc>
                <w:tcPr>
                  <w:tcW w:w="3112" w:type="pct"/>
                  <w:tcBorders>
                    <w:tl2br w:val="nil"/>
                    <w:tr2bl w:val="nil"/>
                  </w:tcBorders>
                  <w:vAlign w:val="center"/>
                </w:tcPr>
                <w:p>
                  <w:pPr>
                    <w:rPr>
                      <w:rFonts w:hint="eastAsia" w:ascii="仿宋" w:hAnsi="仿宋" w:eastAsia="仿宋" w:cs="仿宋"/>
                      <w:color w:val="auto"/>
                      <w:sz w:val="24"/>
                      <w:szCs w:val="24"/>
                    </w:rPr>
                  </w:pPr>
                  <w:r>
                    <w:rPr>
                      <w:rFonts w:hint="eastAsia" w:ascii="仿宋" w:hAnsi="仿宋" w:eastAsia="仿宋" w:cs="仿宋"/>
                      <w:color w:val="auto"/>
                      <w:sz w:val="24"/>
                      <w:szCs w:val="24"/>
                    </w:rPr>
                    <w:t>根据供应商提供的安全管理体系与措施进行评审：①安全管理体系；②安全施工制度；③安全防护措施；④安全管理目标；⑤安全文明施工保障措施；</w:t>
                  </w:r>
                </w:p>
                <w:p>
                  <w:pPr>
                    <w:rPr>
                      <w:rFonts w:hint="eastAsia" w:ascii="仿宋" w:hAnsi="仿宋" w:eastAsia="仿宋" w:cs="仿宋"/>
                      <w:color w:val="auto"/>
                      <w:sz w:val="24"/>
                      <w:szCs w:val="24"/>
                    </w:rPr>
                  </w:pPr>
                  <w:r>
                    <w:rPr>
                      <w:rFonts w:hint="eastAsia" w:ascii="仿宋" w:hAnsi="仿宋" w:eastAsia="仿宋" w:cs="仿宋"/>
                      <w:color w:val="auto"/>
                      <w:sz w:val="24"/>
                      <w:szCs w:val="24"/>
                    </w:rPr>
                    <w:t>针对以上5项内容进行评审，每项</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rPr>
                    <w:t>分，最高得7分，每缺少一项内容扣1.4分，每项中每存在一处缺陷扣0.7分，</w:t>
                  </w:r>
                  <w:r>
                    <w:rPr>
                      <w:rFonts w:hint="eastAsia" w:ascii="仿宋" w:hAnsi="仿宋" w:eastAsia="仿宋" w:cs="仿宋"/>
                      <w:color w:val="auto"/>
                      <w:sz w:val="24"/>
                      <w:szCs w:val="24"/>
                      <w:lang w:val="en-US" w:eastAsia="zh-CN"/>
                    </w:rPr>
                    <w:t>每项</w:t>
                  </w:r>
                  <w:r>
                    <w:rPr>
                      <w:rFonts w:hint="eastAsia" w:ascii="仿宋" w:hAnsi="仿宋" w:eastAsia="仿宋" w:cs="仿宋"/>
                      <w:color w:val="auto"/>
                      <w:sz w:val="24"/>
                      <w:szCs w:val="24"/>
                    </w:rPr>
                    <w:t>最多扣1.4分。（注：“缺陷”指以下任意一种情形：内容不切合行业实际、不符合国家法规政策；或内容凭空编造，与实际情况不符存在偏差；或内容过于简略；或存在与项目无关的文字内容；或内容不适用项目实际情况；或内容逻辑漏洞或原理错误；或地点区域错误；或套用其他项目方案；或前后内容互相矛盾；或专业领域知识阐述有误。）</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0" w:type="dxa"/>
                  <w:bottom w:w="0" w:type="dxa"/>
                  <w:right w:w="0" w:type="dxa"/>
                </w:tblCellMar>
              </w:tblPrEx>
              <w:trPr>
                <w:trHeight w:val="530" w:hRule="atLeast"/>
              </w:trPr>
              <w:tc>
                <w:tcPr>
                  <w:tcW w:w="838" w:type="pct"/>
                  <w:vMerge w:val="continue"/>
                  <w:tcBorders>
                    <w:tl2br w:val="nil"/>
                    <w:tr2bl w:val="nil"/>
                  </w:tcBorders>
                </w:tcPr>
                <w:p>
                  <w:pPr>
                    <w:pStyle w:val="50"/>
                    <w:spacing w:before="145"/>
                    <w:jc w:val="center"/>
                    <w:rPr>
                      <w:rFonts w:hint="eastAsia" w:ascii="仿宋" w:hAnsi="仿宋" w:eastAsia="仿宋" w:cs="仿宋"/>
                      <w:color w:val="auto"/>
                      <w:sz w:val="24"/>
                      <w:szCs w:val="24"/>
                    </w:rPr>
                  </w:pPr>
                </w:p>
              </w:tc>
              <w:tc>
                <w:tcPr>
                  <w:tcW w:w="1049" w:type="pct"/>
                  <w:tcBorders>
                    <w:tl2br w:val="nil"/>
                    <w:tr2bl w:val="nil"/>
                  </w:tcBorders>
                  <w:shd w:val="clear" w:color="auto" w:fill="auto"/>
                  <w:vAlign w:val="center"/>
                </w:tcPr>
                <w:p>
                  <w:pPr>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成品保护及现场管理（6.0分）</w:t>
                  </w:r>
                </w:p>
              </w:tc>
              <w:tc>
                <w:tcPr>
                  <w:tcW w:w="3112" w:type="pct"/>
                  <w:tcBorders>
                    <w:tl2br w:val="nil"/>
                    <w:tr2bl w:val="nil"/>
                  </w:tcBorders>
                  <w:shd w:val="clear" w:color="auto" w:fill="auto"/>
                  <w:vAlign w:val="center"/>
                </w:tcPr>
                <w:p>
                  <w:pPr>
                    <w:pStyle w:val="2"/>
                    <w:ind w:left="0" w:leftChars="0" w:firstLine="0" w:firstLine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供应商提供的成品保护及现场管理进行评审：①成品保护⽅案：针对本项⽬施⼯范围内原有建构筑物、设备、管线等制定防护措施；②现场保洁及恢复：每⽇施⼯收尾清洁、⼯程完⼯后场地复原标准；③施⼯现场标准化标识：规范设置施⼯警⽰、材料分区堆放标识。</w:t>
                  </w:r>
                </w:p>
                <w:p>
                  <w:pPr>
                    <w:pStyle w:val="2"/>
                    <w:ind w:left="0" w:leftChars="0" w:firstLine="0" w:firstLineChars="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针对以上3项内容进⾏评审，每项2分，最⾼得6分。每缺少⼀项内容扣2分，每项中每存在⼀处缺陷扣1分，每项最多扣2分。（注：“缺陷”指以下任意⼀种情形：内容不切合⾏业实际、不符合国家法规政策；或内容凭空编造，与实际情况不符，存在偏差；或内容过于简略；或存在与项⽬⽆关的⽂字内容；或内容不适⽤项⽬实际情况；或内容逻辑漏洞或原理错误；或地点区域错误；或套⽤其他项⽬⽅案；或前后内容互相⽭盾；或专业领域知识阐述有误。）</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0" w:type="dxa"/>
                  <w:bottom w:w="0" w:type="dxa"/>
                  <w:right w:w="0" w:type="dxa"/>
                </w:tblCellMar>
              </w:tblPrEx>
              <w:trPr>
                <w:trHeight w:val="1713" w:hRule="atLeast"/>
              </w:trPr>
              <w:tc>
                <w:tcPr>
                  <w:tcW w:w="838" w:type="pct"/>
                  <w:vMerge w:val="restart"/>
                  <w:tcBorders>
                    <w:tl2br w:val="nil"/>
                    <w:tr2bl w:val="nil"/>
                  </w:tcBorders>
                  <w:vAlign w:val="center"/>
                </w:tcPr>
                <w:p>
                  <w:pPr>
                    <w:pStyle w:val="50"/>
                    <w:jc w:val="center"/>
                    <w:rPr>
                      <w:rFonts w:hint="eastAsia" w:ascii="仿宋" w:hAnsi="仿宋" w:eastAsia="仿宋" w:cs="仿宋"/>
                      <w:color w:val="auto"/>
                      <w:sz w:val="24"/>
                      <w:szCs w:val="24"/>
                    </w:rPr>
                  </w:pPr>
                  <w:r>
                    <w:rPr>
                      <w:rFonts w:hint="eastAsia" w:ascii="仿宋" w:hAnsi="仿宋" w:eastAsia="仿宋" w:cs="仿宋"/>
                      <w:color w:val="auto"/>
                      <w:sz w:val="24"/>
                      <w:szCs w:val="24"/>
                    </w:rPr>
                    <w:t>商务部分</w:t>
                  </w:r>
                </w:p>
                <w:p>
                  <w:pPr>
                    <w:pStyle w:val="50"/>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分)</w:t>
                  </w:r>
                </w:p>
              </w:tc>
              <w:tc>
                <w:tcPr>
                  <w:tcW w:w="1049" w:type="pct"/>
                  <w:tcBorders>
                    <w:tl2br w:val="nil"/>
                    <w:tr2bl w:val="nil"/>
                  </w:tcBorders>
                  <w:vAlign w:val="center"/>
                </w:tcPr>
                <w:p>
                  <w:pPr>
                    <w:rPr>
                      <w:rFonts w:hint="eastAsia" w:ascii="仿宋" w:hAnsi="仿宋" w:eastAsia="仿宋" w:cs="仿宋"/>
                      <w:color w:val="auto"/>
                      <w:sz w:val="24"/>
                      <w:szCs w:val="24"/>
                    </w:rPr>
                  </w:pPr>
                  <w:r>
                    <w:rPr>
                      <w:rFonts w:hint="eastAsia" w:ascii="仿宋" w:hAnsi="仿宋" w:eastAsia="仿宋" w:cs="仿宋"/>
                      <w:color w:val="auto"/>
                      <w:sz w:val="24"/>
                      <w:szCs w:val="24"/>
                    </w:rPr>
                    <w:t>拟派项目管理机构人员（</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分）</w:t>
                  </w:r>
                </w:p>
              </w:tc>
              <w:tc>
                <w:tcPr>
                  <w:tcW w:w="3112" w:type="pct"/>
                  <w:tcBorders>
                    <w:tl2br w:val="nil"/>
                    <w:tr2bl w:val="nil"/>
                  </w:tcBorders>
                  <w:vAlign w:val="center"/>
                </w:tcPr>
                <w:p>
                  <w:pPr>
                    <w:rPr>
                      <w:rFonts w:hint="eastAsia" w:ascii="仿宋" w:hAnsi="仿宋" w:eastAsia="仿宋" w:cs="仿宋"/>
                      <w:color w:val="auto"/>
                      <w:sz w:val="24"/>
                      <w:szCs w:val="24"/>
                    </w:rPr>
                  </w:pPr>
                  <w:r>
                    <w:rPr>
                      <w:rFonts w:hint="eastAsia" w:ascii="仿宋" w:hAnsi="仿宋" w:eastAsia="仿宋" w:cs="仿宋"/>
                      <w:color w:val="auto"/>
                      <w:sz w:val="24"/>
                      <w:szCs w:val="24"/>
                    </w:rPr>
                    <w:t>拟派项⽬管理机构⼈员配备⻬全的可得6分,即技术负责⼈、施⼯员、安全员、质检员（质量员）、造价员（造价师）、资料员配备⻬全，每少配备1⼈扣1分，扣完为⽌。注：（1）项⽬管理机构配备的技术负责⼈、施⼯员、质检员（质量员）、造价员（造价师）、资料员须提供岗位证或注册证书或证明材料，安全员须提供有效期内的安全⽣产考核合格证；（2）以上⼈员</w:t>
                  </w:r>
                  <w:r>
                    <w:rPr>
                      <w:rFonts w:hint="eastAsia" w:ascii="仿宋" w:hAnsi="仿宋" w:eastAsia="仿宋" w:cs="仿宋"/>
                      <w:color w:val="auto"/>
                      <w:sz w:val="24"/>
                      <w:szCs w:val="24"/>
                      <w:lang w:val="en-US" w:eastAsia="zh-CN"/>
                    </w:rPr>
                    <w:t>为</w:t>
                  </w:r>
                  <w:r>
                    <w:rPr>
                      <w:rFonts w:hint="eastAsia" w:ascii="仿宋" w:hAnsi="仿宋" w:eastAsia="仿宋" w:cs="仿宋"/>
                      <w:color w:val="auto"/>
                      <w:sz w:val="24"/>
                      <w:szCs w:val="24"/>
                    </w:rPr>
                    <w:t>本单位员⼯的相关证明材料；（3）以上证书及证明材料须提供原件复印件或原件扫描件并加盖公章</w:t>
                  </w:r>
                  <w:r>
                    <w:rPr>
                      <w:rFonts w:hint="eastAsia" w:ascii="仿宋" w:hAnsi="仿宋" w:eastAsia="仿宋" w:cs="仿宋"/>
                      <w:color w:val="auto"/>
                      <w:sz w:val="24"/>
                      <w:szCs w:val="24"/>
                      <w:lang w:eastAsia="zh-CN"/>
                    </w:rPr>
                    <w:t>。</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0" w:type="dxa"/>
                  <w:bottom w:w="0" w:type="dxa"/>
                  <w:right w:w="0" w:type="dxa"/>
                </w:tblCellMar>
              </w:tblPrEx>
              <w:trPr>
                <w:trHeight w:val="1713" w:hRule="atLeast"/>
              </w:trPr>
              <w:tc>
                <w:tcPr>
                  <w:tcW w:w="838" w:type="pct"/>
                  <w:vMerge w:val="continue"/>
                  <w:tcBorders>
                    <w:tl2br w:val="nil"/>
                    <w:tr2bl w:val="nil"/>
                  </w:tcBorders>
                  <w:vAlign w:val="center"/>
                </w:tcPr>
                <w:p>
                  <w:pPr>
                    <w:pStyle w:val="50"/>
                    <w:jc w:val="center"/>
                    <w:rPr>
                      <w:rFonts w:hint="eastAsia" w:ascii="仿宋" w:hAnsi="仿宋" w:eastAsia="仿宋" w:cs="仿宋"/>
                      <w:color w:val="auto"/>
                      <w:sz w:val="24"/>
                      <w:szCs w:val="24"/>
                    </w:rPr>
                  </w:pPr>
                </w:p>
              </w:tc>
              <w:tc>
                <w:tcPr>
                  <w:tcW w:w="1049" w:type="pct"/>
                  <w:tcBorders>
                    <w:tl2br w:val="nil"/>
                    <w:tr2bl w:val="nil"/>
                  </w:tcBorders>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业绩（</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分）</w:t>
                  </w:r>
                </w:p>
              </w:tc>
              <w:tc>
                <w:tcPr>
                  <w:tcW w:w="3112" w:type="pct"/>
                  <w:tcBorders>
                    <w:tl2br w:val="nil"/>
                    <w:tr2bl w:val="nil"/>
                  </w:tcBorders>
                  <w:vAlign w:val="center"/>
                </w:tcPr>
                <w:p>
                  <w:pPr>
                    <w:rPr>
                      <w:rFonts w:hint="eastAsia" w:ascii="仿宋" w:hAnsi="仿宋" w:eastAsia="仿宋" w:cs="仿宋"/>
                      <w:color w:val="auto"/>
                      <w:sz w:val="24"/>
                      <w:szCs w:val="24"/>
                    </w:rPr>
                  </w:pPr>
                  <w:r>
                    <w:rPr>
                      <w:rFonts w:hint="eastAsia" w:ascii="仿宋" w:hAnsi="仿宋" w:eastAsia="仿宋" w:cs="仿宋"/>
                      <w:color w:val="auto"/>
                      <w:sz w:val="24"/>
                      <w:szCs w:val="24"/>
                    </w:rPr>
                    <w:t>供应商近三年（202</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月1日至今）类似项目业绩，每有一份得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分，最多得</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分，提供施工合同，日期以施工合同签订日期为准，不提供不得分。</w:t>
                  </w:r>
                </w:p>
                <w:p>
                  <w:pPr>
                    <w:rPr>
                      <w:rFonts w:hint="eastAsia" w:ascii="仿宋" w:hAnsi="仿宋" w:eastAsia="仿宋" w:cs="仿宋"/>
                      <w:color w:val="auto"/>
                      <w:sz w:val="24"/>
                      <w:szCs w:val="24"/>
                    </w:rPr>
                  </w:pPr>
                  <w:r>
                    <w:rPr>
                      <w:rFonts w:hint="eastAsia" w:ascii="仿宋" w:hAnsi="仿宋" w:eastAsia="仿宋" w:cs="仿宋"/>
                      <w:color w:val="auto"/>
                      <w:sz w:val="24"/>
                      <w:szCs w:val="24"/>
                    </w:rPr>
                    <w:t>（注：类似业绩</w:t>
                  </w:r>
                  <w:r>
                    <w:rPr>
                      <w:rFonts w:hint="eastAsia" w:ascii="仿宋" w:hAnsi="仿宋" w:eastAsia="仿宋" w:cs="仿宋"/>
                      <w:color w:val="auto"/>
                      <w:sz w:val="24"/>
                      <w:szCs w:val="24"/>
                      <w:lang w:val="en-US" w:eastAsia="zh-CN"/>
                    </w:rPr>
                    <w:t>指供应商承建的装饰装修工程项目</w:t>
                  </w:r>
                  <w:r>
                    <w:rPr>
                      <w:rFonts w:hint="eastAsia" w:ascii="仿宋" w:hAnsi="仿宋" w:eastAsia="仿宋" w:cs="仿宋"/>
                      <w:color w:val="auto"/>
                      <w:sz w:val="24"/>
                      <w:szCs w:val="24"/>
                    </w:rPr>
                    <w:t>，须提供业绩合同复印件并加盖公章，否则不得分）</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0" w:type="dxa"/>
                  <w:bottom w:w="0" w:type="dxa"/>
                  <w:right w:w="0" w:type="dxa"/>
                </w:tblCellMar>
              </w:tblPrEx>
              <w:trPr>
                <w:trHeight w:val="1153" w:hRule="atLeast"/>
              </w:trPr>
              <w:tc>
                <w:tcPr>
                  <w:tcW w:w="838" w:type="pct"/>
                  <w:tcBorders>
                    <w:tl2br w:val="nil"/>
                    <w:tr2bl w:val="nil"/>
                  </w:tcBorders>
                  <w:vAlign w:val="center"/>
                </w:tcPr>
                <w:p>
                  <w:pPr>
                    <w:pStyle w:val="50"/>
                    <w:jc w:val="center"/>
                    <w:rPr>
                      <w:rFonts w:hint="eastAsia" w:ascii="仿宋" w:hAnsi="仿宋" w:eastAsia="仿宋" w:cs="仿宋"/>
                      <w:color w:val="auto"/>
                      <w:sz w:val="24"/>
                      <w:szCs w:val="24"/>
                    </w:rPr>
                  </w:pPr>
                  <w:r>
                    <w:rPr>
                      <w:rFonts w:hint="eastAsia" w:ascii="仿宋" w:hAnsi="仿宋" w:eastAsia="仿宋" w:cs="仿宋"/>
                      <w:color w:val="auto"/>
                      <w:sz w:val="24"/>
                      <w:szCs w:val="24"/>
                    </w:rPr>
                    <w:t>报价</w:t>
                  </w:r>
                </w:p>
                <w:p>
                  <w:pPr>
                    <w:pStyle w:val="50"/>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0分)</w:t>
                  </w:r>
                </w:p>
              </w:tc>
              <w:tc>
                <w:tcPr>
                  <w:tcW w:w="1049" w:type="pct"/>
                  <w:tcBorders>
                    <w:tl2br w:val="nil"/>
                    <w:tr2bl w:val="nil"/>
                  </w:tcBorders>
                  <w:vAlign w:val="center"/>
                </w:tcPr>
                <w:p>
                  <w:pPr>
                    <w:pStyle w:val="50"/>
                    <w:ind w:left="64"/>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报价得分 </w:t>
                  </w:r>
                </w:p>
                <w:p>
                  <w:pPr>
                    <w:pStyle w:val="50"/>
                    <w:ind w:left="64"/>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0分)</w:t>
                  </w:r>
                </w:p>
              </w:tc>
              <w:tc>
                <w:tcPr>
                  <w:tcW w:w="3112" w:type="pct"/>
                  <w:tcBorders>
                    <w:tl2br w:val="nil"/>
                    <w:tr2bl w:val="nil"/>
                  </w:tcBorders>
                  <w:vAlign w:val="center"/>
                </w:tcPr>
                <w:p>
                  <w:pPr>
                    <w:pStyle w:val="50"/>
                    <w:spacing w:before="11" w:line="288" w:lineRule="auto"/>
                    <w:ind w:left="63" w:right="135"/>
                    <w:rPr>
                      <w:rFonts w:hint="eastAsia" w:ascii="仿宋" w:hAnsi="仿宋" w:eastAsia="仿宋" w:cs="仿宋"/>
                      <w:color w:val="auto"/>
                      <w:sz w:val="24"/>
                      <w:szCs w:val="24"/>
                      <w:lang w:val="zh-CN" w:bidi="zh-CN"/>
                    </w:rPr>
                  </w:pPr>
                  <w:r>
                    <w:rPr>
                      <w:rFonts w:hint="eastAsia" w:ascii="仿宋" w:hAnsi="仿宋" w:eastAsia="仿宋" w:cs="仿宋"/>
                      <w:color w:val="auto"/>
                      <w:sz w:val="24"/>
                      <w:szCs w:val="24"/>
                      <w:lang w:val="zh-CN" w:bidi="zh-CN"/>
                    </w:rPr>
                    <w:t>报价得分=（</w:t>
                  </w:r>
                  <w:r>
                    <w:rPr>
                      <w:rFonts w:hint="eastAsia" w:ascii="仿宋" w:hAnsi="仿宋" w:eastAsia="仿宋" w:cs="仿宋"/>
                      <w:color w:val="auto"/>
                      <w:sz w:val="24"/>
                      <w:szCs w:val="24"/>
                      <w:lang w:bidi="zh-CN"/>
                    </w:rPr>
                    <w:t>评审</w:t>
                  </w:r>
                  <w:r>
                    <w:rPr>
                      <w:rFonts w:hint="eastAsia" w:ascii="仿宋" w:hAnsi="仿宋" w:eastAsia="仿宋" w:cs="仿宋"/>
                      <w:color w:val="auto"/>
                      <w:sz w:val="24"/>
                      <w:szCs w:val="24"/>
                      <w:lang w:val="zh-CN" w:bidi="zh-CN"/>
                    </w:rPr>
                    <w:t>基准价/</w:t>
                  </w:r>
                  <w:r>
                    <w:rPr>
                      <w:rFonts w:hint="eastAsia" w:ascii="仿宋" w:hAnsi="仿宋" w:eastAsia="仿宋" w:cs="仿宋"/>
                      <w:color w:val="auto"/>
                      <w:sz w:val="24"/>
                      <w:szCs w:val="24"/>
                      <w:lang w:bidi="zh-CN"/>
                    </w:rPr>
                    <w:t>投标</w:t>
                  </w:r>
                  <w:r>
                    <w:rPr>
                      <w:rFonts w:hint="eastAsia" w:ascii="仿宋" w:hAnsi="仿宋" w:eastAsia="仿宋" w:cs="仿宋"/>
                      <w:color w:val="auto"/>
                      <w:sz w:val="24"/>
                      <w:szCs w:val="24"/>
                      <w:lang w:val="zh-CN" w:bidi="zh-CN"/>
                    </w:rPr>
                    <w:t>报价）×价格权值×100</w:t>
                  </w:r>
                </w:p>
                <w:p>
                  <w:pPr>
                    <w:pStyle w:val="50"/>
                    <w:spacing w:before="11" w:line="288" w:lineRule="auto"/>
                    <w:ind w:left="63" w:right="135"/>
                    <w:rPr>
                      <w:rFonts w:hint="eastAsia" w:ascii="仿宋" w:hAnsi="仿宋" w:eastAsia="仿宋" w:cs="仿宋"/>
                      <w:color w:val="auto"/>
                      <w:sz w:val="24"/>
                      <w:szCs w:val="24"/>
                    </w:rPr>
                  </w:pPr>
                  <w:r>
                    <w:rPr>
                      <w:rFonts w:hint="eastAsia" w:ascii="仿宋" w:hAnsi="仿宋" w:eastAsia="仿宋" w:cs="仿宋"/>
                      <w:color w:val="auto"/>
                      <w:sz w:val="24"/>
                      <w:szCs w:val="24"/>
                      <w:lang w:val="zh-CN" w:bidi="zh-CN"/>
                    </w:rPr>
                    <w:t>（注：满足</w:t>
                  </w:r>
                  <w:r>
                    <w:rPr>
                      <w:rFonts w:hint="eastAsia" w:ascii="仿宋" w:hAnsi="仿宋" w:eastAsia="仿宋" w:cs="仿宋"/>
                      <w:color w:val="auto"/>
                      <w:sz w:val="24"/>
                      <w:szCs w:val="24"/>
                      <w:lang w:bidi="zh-CN"/>
                    </w:rPr>
                    <w:t>比选</w:t>
                  </w:r>
                  <w:r>
                    <w:rPr>
                      <w:rFonts w:hint="eastAsia" w:ascii="仿宋" w:hAnsi="仿宋" w:eastAsia="仿宋" w:cs="仿宋"/>
                      <w:color w:val="auto"/>
                      <w:sz w:val="24"/>
                      <w:szCs w:val="24"/>
                      <w:lang w:val="zh-CN" w:bidi="zh-CN"/>
                    </w:rPr>
                    <w:t>文件要求且报价最低的供应商的价格为</w:t>
                  </w:r>
                  <w:r>
                    <w:rPr>
                      <w:rFonts w:hint="eastAsia" w:ascii="仿宋" w:hAnsi="仿宋" w:eastAsia="仿宋" w:cs="仿宋"/>
                      <w:color w:val="auto"/>
                      <w:sz w:val="24"/>
                      <w:szCs w:val="24"/>
                      <w:lang w:bidi="zh-CN"/>
                    </w:rPr>
                    <w:t>评审</w:t>
                  </w:r>
                  <w:r>
                    <w:rPr>
                      <w:rFonts w:hint="eastAsia" w:ascii="仿宋" w:hAnsi="仿宋" w:eastAsia="仿宋" w:cs="仿宋"/>
                      <w:color w:val="auto"/>
                      <w:sz w:val="24"/>
                      <w:szCs w:val="24"/>
                      <w:lang w:val="zh-CN" w:bidi="zh-CN"/>
                    </w:rPr>
                    <w:t>基准价，其价格分为满分。）最低报价不是成交的唯一依据。</w:t>
                  </w:r>
                </w:p>
              </w:tc>
            </w:tr>
          </w:tbl>
          <w:p>
            <w:pPr>
              <w:spacing w:line="560" w:lineRule="exact"/>
              <w:jc w:val="left"/>
              <w:rPr>
                <w:rFonts w:ascii="方正仿宋_GBK" w:eastAsia="方正仿宋_GBK" w:cs="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8" w:hRule="atLeast"/>
        </w:trPr>
        <w:tc>
          <w:tcPr>
            <w:tcW w:w="2198" w:type="dxa"/>
            <w:vAlign w:val="center"/>
          </w:tcPr>
          <w:p>
            <w:pPr>
              <w:spacing w:line="560" w:lineRule="exact"/>
              <w:jc w:val="center"/>
              <w:rPr>
                <w:rFonts w:ascii="方正仿宋_GBK" w:eastAsia="方正仿宋_GBK" w:cs="方正仿宋_GBK"/>
                <w:color w:val="auto"/>
                <w:sz w:val="28"/>
                <w:szCs w:val="28"/>
              </w:rPr>
            </w:pPr>
            <w:r>
              <w:rPr>
                <w:rFonts w:hint="eastAsia" w:ascii="方正仿宋_GBK" w:eastAsia="方正仿宋_GBK" w:cs="方正仿宋_GBK"/>
                <w:color w:val="auto"/>
                <w:sz w:val="28"/>
                <w:szCs w:val="28"/>
              </w:rPr>
              <w:t>其他因素</w:t>
            </w:r>
          </w:p>
        </w:tc>
        <w:tc>
          <w:tcPr>
            <w:tcW w:w="6862" w:type="dxa"/>
          </w:tcPr>
          <w:p>
            <w:pPr>
              <w:spacing w:line="400" w:lineRule="exact"/>
              <w:jc w:val="left"/>
              <w:rPr>
                <w:rFonts w:ascii="方正仿宋_GBK" w:eastAsia="方正仿宋_GBK" w:cs="方正仿宋_GBK"/>
                <w:color w:val="auto"/>
                <w:sz w:val="28"/>
                <w:szCs w:val="28"/>
              </w:rPr>
            </w:pPr>
            <w:r>
              <w:rPr>
                <w:rFonts w:hint="eastAsia" w:ascii="方正仿宋_GBK" w:eastAsia="方正仿宋_GBK" w:cs="方正仿宋_GBK"/>
                <w:color w:val="auto"/>
                <w:sz w:val="28"/>
                <w:szCs w:val="28"/>
              </w:rPr>
              <w:t>1、公告期限3个工作日。</w:t>
            </w:r>
          </w:p>
          <w:p>
            <w:pPr>
              <w:spacing w:line="400" w:lineRule="exact"/>
              <w:jc w:val="left"/>
              <w:rPr>
                <w:rFonts w:ascii="方正仿宋_GBK" w:eastAsia="方正仿宋_GBK" w:cs="方正仿宋_GBK"/>
                <w:color w:val="auto"/>
                <w:sz w:val="28"/>
                <w:szCs w:val="28"/>
              </w:rPr>
            </w:pPr>
            <w:r>
              <w:rPr>
                <w:rFonts w:hint="eastAsia" w:ascii="方正仿宋_GBK" w:eastAsia="方正仿宋_GBK" w:cs="方正仿宋_GBK"/>
                <w:color w:val="auto"/>
                <w:sz w:val="28"/>
                <w:szCs w:val="28"/>
              </w:rPr>
              <w:t>2、</w:t>
            </w:r>
            <w:r>
              <w:rPr>
                <w:rFonts w:hint="eastAsia" w:ascii="方正仿宋_GBK" w:eastAsia="方正仿宋_GBK" w:cs="方正仿宋_GBK"/>
                <w:color w:val="auto"/>
                <w:sz w:val="28"/>
                <w:szCs w:val="28"/>
                <w:highlight w:val="none"/>
              </w:rPr>
              <w:t>响应文件份数</w:t>
            </w:r>
            <w:r>
              <w:rPr>
                <w:rFonts w:hint="eastAsia" w:ascii="方正仿宋_GBK" w:eastAsia="方正仿宋_GBK" w:cs="方正仿宋_GBK"/>
                <w:color w:val="auto"/>
                <w:sz w:val="28"/>
                <w:szCs w:val="28"/>
                <w:highlight w:val="none"/>
                <w:lang w:eastAsia="zh-CN"/>
              </w:rPr>
              <w:t>：</w:t>
            </w:r>
            <w:r>
              <w:rPr>
                <w:rFonts w:hint="eastAsia" w:ascii="方正仿宋_GBK" w:eastAsia="方正仿宋_GBK" w:cs="方正仿宋_GBK"/>
                <w:color w:val="auto"/>
                <w:sz w:val="28"/>
                <w:szCs w:val="28"/>
              </w:rPr>
              <w:t>响应文件正本1份、副本</w:t>
            </w:r>
            <w:r>
              <w:rPr>
                <w:rFonts w:hint="eastAsia" w:ascii="方正仿宋_GBK" w:eastAsia="方正仿宋_GBK" w:cs="方正仿宋_GBK"/>
                <w:color w:val="auto"/>
                <w:sz w:val="28"/>
                <w:szCs w:val="28"/>
                <w:lang w:val="en-US" w:eastAsia="zh-CN"/>
              </w:rPr>
              <w:t>1</w:t>
            </w:r>
            <w:r>
              <w:rPr>
                <w:rFonts w:hint="eastAsia" w:ascii="方正仿宋_GBK" w:eastAsia="方正仿宋_GBK" w:cs="方正仿宋_GBK"/>
                <w:color w:val="auto"/>
                <w:sz w:val="28"/>
                <w:szCs w:val="28"/>
              </w:rPr>
              <w:t>份，胶装装订成册，密封提交。</w:t>
            </w:r>
          </w:p>
        </w:tc>
      </w:tr>
    </w:tbl>
    <w:p>
      <w:pPr>
        <w:rPr>
          <w:rFonts w:ascii="方正仿宋_GBK" w:eastAsia="方正仿宋_GBK" w:cs="方正仿宋_GBK"/>
          <w:sz w:val="32"/>
          <w:szCs w:val="32"/>
        </w:rPr>
      </w:pPr>
    </w:p>
    <w:p>
      <w:pPr>
        <w:spacing w:line="560" w:lineRule="exact"/>
        <w:jc w:val="right"/>
        <w:rPr>
          <w:rFonts w:ascii="方正仿宋_GBK" w:eastAsia="方正仿宋_GBK" w:cs="方正仿宋_GBK"/>
          <w:sz w:val="32"/>
          <w:szCs w:val="32"/>
        </w:rPr>
      </w:pPr>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2000000000000000000"/>
    <w:charset w:val="86"/>
    <w:family w:val="script"/>
    <w:pitch w:val="default"/>
    <w:sig w:usb0="A00002BF" w:usb1="38CF7CFA" w:usb2="00082016" w:usb3="00000000" w:csb0="00040001" w:csb1="00000000"/>
    <w:embedRegular r:id="rId1" w:fontKey="{8D5DE48F-FF24-4339-B612-12A0801F780C}"/>
  </w:font>
  <w:font w:name="方正黑体_GBK">
    <w:panose1 w:val="02010600010101010101"/>
    <w:charset w:val="86"/>
    <w:family w:val="script"/>
    <w:pitch w:val="default"/>
    <w:sig w:usb0="00000001" w:usb1="080E0000" w:usb2="00000000" w:usb3="00000000" w:csb0="00040000" w:csb1="00000000"/>
    <w:embedRegular r:id="rId2" w:fontKey="{65CFD42D-163D-4269-B378-7A24B6B01A50}"/>
  </w:font>
  <w:font w:name="方正小标宋_GBK">
    <w:panose1 w:val="02000000000000000000"/>
    <w:charset w:val="86"/>
    <w:family w:val="script"/>
    <w:pitch w:val="default"/>
    <w:sig w:usb0="A00002BF" w:usb1="38CF7CFA" w:usb2="00082016" w:usb3="00000000" w:csb0="00040001" w:csb1="00000000"/>
    <w:embedRegular r:id="rId3" w:fontKey="{C292EAD8-1C2F-4212-B274-0D3E8517B83F}"/>
  </w:font>
  <w:font w:name="方正楷体_GBK">
    <w:panose1 w:val="02000000000000000000"/>
    <w:charset w:val="86"/>
    <w:family w:val="script"/>
    <w:pitch w:val="default"/>
    <w:sig w:usb0="800002BF" w:usb1="38CF7CFA" w:usb2="00000016" w:usb3="00000000" w:csb0="00040000" w:csb1="00000000"/>
    <w:embedRegular r:id="rId4" w:fontKey="{8C6D7B4E-D3E9-4962-9ED1-251CC0FEA619}"/>
  </w:font>
  <w:font w:name="Wingdings 2">
    <w:panose1 w:val="05020102010507070707"/>
    <w:charset w:val="02"/>
    <w:family w:val="roman"/>
    <w:pitch w:val="default"/>
    <w:sig w:usb0="00000000" w:usb1="00000000" w:usb2="00000000" w:usb3="00000000" w:csb0="80000000" w:csb1="00000000"/>
    <w:embedRegular r:id="rId5" w:fontKey="{88E21118-4D1B-4AE2-910E-1C78A0C22FD5}"/>
  </w:font>
  <w:font w:name="仿宋">
    <w:panose1 w:val="02010609060101010101"/>
    <w:charset w:val="86"/>
    <w:family w:val="auto"/>
    <w:pitch w:val="default"/>
    <w:sig w:usb0="800002BF" w:usb1="38CF7CFA" w:usb2="00000016" w:usb3="00000000" w:csb0="00040001" w:csb1="00000000"/>
    <w:embedRegular r:id="rId6" w:fontKey="{7EE024B6-2B03-4713-B6F1-7D09BE098DE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right" w:y="1"/>
    </w:pPr>
    <w:r>
      <w:rPr>
        <w:rStyle w:val="11"/>
      </w:rPr>
      <w:fldChar w:fldCharType="begin"/>
    </w:r>
    <w:r>
      <w:rPr>
        <w:rStyle w:val="11"/>
      </w:rPr>
      <w:instrText xml:space="preserve">Page</w:instrText>
    </w:r>
    <w:r>
      <w:rPr>
        <w:rStyle w:val="11"/>
      </w:rPr>
      <w:fldChar w:fldCharType="separate"/>
    </w:r>
    <w:r>
      <w:rPr>
        <w:rStyle w:val="11"/>
      </w:rPr>
      <w:t>1</w:t>
    </w:r>
    <w:r>
      <w:rPr>
        <w:rStyle w:val="11"/>
      </w:rPr>
      <w:fldChar w:fldCharType="end"/>
    </w:r>
  </w:p>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right" w:y="1"/>
    </w:pPr>
    <w:r>
      <w:rPr>
        <w:rStyle w:val="11"/>
      </w:rPr>
      <w:fldChar w:fldCharType="begin"/>
    </w:r>
    <w:r>
      <w:rPr>
        <w:rStyle w:val="11"/>
      </w:rPr>
      <w:instrText xml:space="preserve">Page</w:instrText>
    </w:r>
    <w:r>
      <w:rPr>
        <w:rStyle w:val="11"/>
      </w:rPr>
      <w:fldChar w:fldCharType="separate"/>
    </w:r>
    <w:r>
      <w:rPr>
        <w:rStyle w:val="11"/>
      </w:rPr>
      <w:t>1</w:t>
    </w:r>
    <w:r>
      <w:rPr>
        <w:rStyle w:val="11"/>
      </w:rPr>
      <w:fldChar w:fldCharType="end"/>
    </w:r>
  </w:p>
  <w:p>
    <w:pPr>
      <w:pStyle w:val="4"/>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5E53F3"/>
    <w:multiLevelType w:val="singleLevel"/>
    <w:tmpl w:val="E15E53F3"/>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compatSetting w:name="compatibilityMode" w:uri="http://schemas.microsoft.com/office/word" w:val="14"/>
  </w:compat>
  <w:docVars>
    <w:docVar w:name="commondata" w:val="eyJoZGlkIjoiOWRlNmFjNTE0YmQzNDgwNGMxODI4OWJlYzRjMWE3MTcifQ=="/>
  </w:docVars>
  <w:rsids>
    <w:rsidRoot w:val="005446B4"/>
    <w:rsid w:val="00083FC3"/>
    <w:rsid w:val="000B6658"/>
    <w:rsid w:val="001945B7"/>
    <w:rsid w:val="00253B42"/>
    <w:rsid w:val="00381BC2"/>
    <w:rsid w:val="0049127A"/>
    <w:rsid w:val="005446B4"/>
    <w:rsid w:val="00573435"/>
    <w:rsid w:val="0059538D"/>
    <w:rsid w:val="00891DA1"/>
    <w:rsid w:val="008F1FCE"/>
    <w:rsid w:val="009701CF"/>
    <w:rsid w:val="00B13D9C"/>
    <w:rsid w:val="05B145C8"/>
    <w:rsid w:val="08471E20"/>
    <w:rsid w:val="0CC2416B"/>
    <w:rsid w:val="0FF30ADF"/>
    <w:rsid w:val="10C45D46"/>
    <w:rsid w:val="11477335"/>
    <w:rsid w:val="12D17035"/>
    <w:rsid w:val="12D76496"/>
    <w:rsid w:val="186B1B5B"/>
    <w:rsid w:val="19AE61A3"/>
    <w:rsid w:val="19FE07AD"/>
    <w:rsid w:val="1E2922FE"/>
    <w:rsid w:val="1F115A8D"/>
    <w:rsid w:val="22C5630B"/>
    <w:rsid w:val="28164F13"/>
    <w:rsid w:val="2B141BDE"/>
    <w:rsid w:val="30896DF8"/>
    <w:rsid w:val="32332AAE"/>
    <w:rsid w:val="3296737C"/>
    <w:rsid w:val="37427AD3"/>
    <w:rsid w:val="3B312338"/>
    <w:rsid w:val="3D1B6DFC"/>
    <w:rsid w:val="3D1D2B74"/>
    <w:rsid w:val="3D2A34E3"/>
    <w:rsid w:val="3F535456"/>
    <w:rsid w:val="43CC2FC9"/>
    <w:rsid w:val="451C0C93"/>
    <w:rsid w:val="45462859"/>
    <w:rsid w:val="46CE1383"/>
    <w:rsid w:val="48777D12"/>
    <w:rsid w:val="4A1946C3"/>
    <w:rsid w:val="4B7C7600"/>
    <w:rsid w:val="4BD96800"/>
    <w:rsid w:val="4D8179C4"/>
    <w:rsid w:val="4EA937BE"/>
    <w:rsid w:val="4FF5172F"/>
    <w:rsid w:val="501B2499"/>
    <w:rsid w:val="52701540"/>
    <w:rsid w:val="54EF0E42"/>
    <w:rsid w:val="5500270B"/>
    <w:rsid w:val="55E069DD"/>
    <w:rsid w:val="567F77AE"/>
    <w:rsid w:val="569C2904"/>
    <w:rsid w:val="58310B12"/>
    <w:rsid w:val="59034004"/>
    <w:rsid w:val="59F44805"/>
    <w:rsid w:val="5D02548B"/>
    <w:rsid w:val="5E4E6BDA"/>
    <w:rsid w:val="5E7A79CF"/>
    <w:rsid w:val="63AE011A"/>
    <w:rsid w:val="647C3D75"/>
    <w:rsid w:val="65C71C7C"/>
    <w:rsid w:val="67270DA7"/>
    <w:rsid w:val="68C57817"/>
    <w:rsid w:val="6BBF6A86"/>
    <w:rsid w:val="6BC95AF1"/>
    <w:rsid w:val="6C027255"/>
    <w:rsid w:val="6E6B2E90"/>
    <w:rsid w:val="6F573414"/>
    <w:rsid w:val="70C8281B"/>
    <w:rsid w:val="75644ADD"/>
    <w:rsid w:val="777C1998"/>
    <w:rsid w:val="77A56C97"/>
    <w:rsid w:val="78CE7DB2"/>
    <w:rsid w:val="79D519F7"/>
    <w:rsid w:val="7DEB18F7"/>
    <w:rsid w:val="7ED710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0"/>
    <w:pPr>
      <w:ind w:firstLine="420" w:firstLineChars="200"/>
    </w:p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index heading"/>
    <w:basedOn w:val="1"/>
    <w:next w:val="7"/>
    <w:qFormat/>
    <w:uiPriority w:val="0"/>
    <w:rPr>
      <w:rFonts w:ascii="Arial" w:hAnsi="Arial"/>
      <w:b/>
    </w:rPr>
  </w:style>
  <w:style w:type="paragraph" w:styleId="7">
    <w:name w:val="index 1"/>
    <w:basedOn w:val="1"/>
    <w:next w:val="1"/>
    <w:qFormat/>
    <w:uiPriority w:val="0"/>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 w:type="paragraph" w:customStyle="1" w:styleId="12">
    <w:name w:val="样式 10 磅"/>
    <w:qFormat/>
    <w:uiPriority w:val="0"/>
    <w:pPr>
      <w:widowControl w:val="0"/>
      <w:jc w:val="both"/>
    </w:pPr>
    <w:rPr>
      <w:rFonts w:ascii="Calibri" w:hAnsi="Calibri" w:eastAsia="宋体" w:cs="Arial"/>
      <w:kern w:val="2"/>
      <w:sz w:val="21"/>
      <w:szCs w:val="24"/>
      <w:lang w:val="en-US" w:eastAsia="zh-CN" w:bidi="ar-SA"/>
    </w:rPr>
  </w:style>
  <w:style w:type="paragraph" w:customStyle="1" w:styleId="13">
    <w:name w:val="样式 1 10 磅"/>
    <w:qFormat/>
    <w:uiPriority w:val="0"/>
    <w:pPr>
      <w:widowControl w:val="0"/>
      <w:jc w:val="both"/>
    </w:pPr>
    <w:rPr>
      <w:rFonts w:ascii="Calibri" w:hAnsi="Calibri" w:eastAsia="宋体" w:cs="Arial"/>
      <w:kern w:val="2"/>
      <w:sz w:val="21"/>
      <w:szCs w:val="24"/>
      <w:lang w:val="en-US" w:eastAsia="zh-CN" w:bidi="ar-SA"/>
    </w:rPr>
  </w:style>
  <w:style w:type="paragraph" w:customStyle="1" w:styleId="14">
    <w:name w:val="样式 2 10 磅"/>
    <w:qFormat/>
    <w:uiPriority w:val="0"/>
    <w:pPr>
      <w:widowControl w:val="0"/>
      <w:jc w:val="both"/>
    </w:pPr>
    <w:rPr>
      <w:rFonts w:ascii="Calibri" w:hAnsi="Calibri" w:eastAsia="宋体" w:cs="Arial"/>
      <w:kern w:val="2"/>
      <w:sz w:val="21"/>
      <w:szCs w:val="24"/>
      <w:lang w:val="en-US" w:eastAsia="zh-CN" w:bidi="ar-SA"/>
    </w:rPr>
  </w:style>
  <w:style w:type="paragraph" w:customStyle="1" w:styleId="15">
    <w:name w:val="样式 3 10 磅"/>
    <w:qFormat/>
    <w:uiPriority w:val="0"/>
    <w:pPr>
      <w:widowControl w:val="0"/>
      <w:jc w:val="both"/>
    </w:pPr>
    <w:rPr>
      <w:rFonts w:ascii="Calibri" w:hAnsi="Calibri" w:eastAsia="宋体" w:cs="Arial"/>
      <w:kern w:val="2"/>
      <w:sz w:val="21"/>
      <w:szCs w:val="24"/>
      <w:lang w:val="en-US" w:eastAsia="zh-CN" w:bidi="ar-SA"/>
    </w:rPr>
  </w:style>
  <w:style w:type="paragraph" w:customStyle="1" w:styleId="16">
    <w:name w:val="样式 4 10 磅"/>
    <w:qFormat/>
    <w:uiPriority w:val="0"/>
    <w:pPr>
      <w:widowControl w:val="0"/>
      <w:jc w:val="both"/>
    </w:pPr>
    <w:rPr>
      <w:rFonts w:ascii="Calibri" w:hAnsi="Calibri" w:eastAsia="宋体" w:cs="Arial"/>
      <w:kern w:val="2"/>
      <w:sz w:val="21"/>
      <w:szCs w:val="24"/>
      <w:lang w:val="en-US" w:eastAsia="zh-CN" w:bidi="ar-SA"/>
    </w:rPr>
  </w:style>
  <w:style w:type="paragraph" w:customStyle="1" w:styleId="17">
    <w:name w:val="样式 5 10 磅"/>
    <w:qFormat/>
    <w:uiPriority w:val="0"/>
    <w:pPr>
      <w:widowControl w:val="0"/>
      <w:jc w:val="both"/>
    </w:pPr>
    <w:rPr>
      <w:rFonts w:ascii="Calibri" w:hAnsi="Calibri" w:eastAsia="宋体" w:cs="Arial"/>
      <w:kern w:val="2"/>
      <w:sz w:val="21"/>
      <w:szCs w:val="24"/>
      <w:lang w:val="en-US" w:eastAsia="zh-CN" w:bidi="ar-SA"/>
    </w:rPr>
  </w:style>
  <w:style w:type="paragraph" w:customStyle="1" w:styleId="18">
    <w:name w:val="样式 6 10 磅"/>
    <w:qFormat/>
    <w:uiPriority w:val="0"/>
    <w:pPr>
      <w:widowControl w:val="0"/>
      <w:jc w:val="both"/>
    </w:pPr>
    <w:rPr>
      <w:rFonts w:ascii="Calibri" w:hAnsi="Calibri" w:eastAsia="宋体" w:cs="Arial"/>
      <w:kern w:val="2"/>
      <w:sz w:val="21"/>
      <w:szCs w:val="24"/>
      <w:lang w:val="en-US" w:eastAsia="zh-CN" w:bidi="ar-SA"/>
    </w:rPr>
  </w:style>
  <w:style w:type="paragraph" w:customStyle="1" w:styleId="19">
    <w:name w:val="样式 7 10 磅"/>
    <w:qFormat/>
    <w:uiPriority w:val="0"/>
    <w:pPr>
      <w:widowControl w:val="0"/>
      <w:jc w:val="both"/>
    </w:pPr>
    <w:rPr>
      <w:rFonts w:ascii="Calibri" w:hAnsi="Calibri" w:eastAsia="宋体" w:cs="Arial"/>
      <w:kern w:val="2"/>
      <w:sz w:val="21"/>
      <w:szCs w:val="24"/>
      <w:lang w:val="en-US" w:eastAsia="zh-CN" w:bidi="ar-SA"/>
    </w:rPr>
  </w:style>
  <w:style w:type="paragraph" w:customStyle="1" w:styleId="20">
    <w:name w:val="样式 8 10 磅"/>
    <w:qFormat/>
    <w:uiPriority w:val="0"/>
    <w:pPr>
      <w:widowControl w:val="0"/>
      <w:jc w:val="both"/>
    </w:pPr>
    <w:rPr>
      <w:rFonts w:ascii="Calibri" w:hAnsi="Calibri" w:eastAsia="宋体" w:cs="Arial"/>
      <w:kern w:val="2"/>
      <w:sz w:val="21"/>
      <w:szCs w:val="24"/>
      <w:lang w:val="en-US" w:eastAsia="zh-CN" w:bidi="ar-SA"/>
    </w:rPr>
  </w:style>
  <w:style w:type="paragraph" w:customStyle="1" w:styleId="21">
    <w:name w:val="样式 9 10 磅"/>
    <w:qFormat/>
    <w:uiPriority w:val="0"/>
    <w:pPr>
      <w:widowControl w:val="0"/>
      <w:jc w:val="both"/>
    </w:pPr>
    <w:rPr>
      <w:rFonts w:ascii="Calibri" w:hAnsi="Calibri" w:eastAsia="宋体" w:cs="Arial"/>
      <w:kern w:val="2"/>
      <w:sz w:val="21"/>
      <w:szCs w:val="24"/>
      <w:lang w:val="en-US" w:eastAsia="zh-CN" w:bidi="ar-SA"/>
    </w:rPr>
  </w:style>
  <w:style w:type="paragraph" w:customStyle="1" w:styleId="22">
    <w:name w:val="样式 10 10 磅"/>
    <w:qFormat/>
    <w:uiPriority w:val="0"/>
    <w:pPr>
      <w:widowControl w:val="0"/>
      <w:jc w:val="both"/>
    </w:pPr>
    <w:rPr>
      <w:rFonts w:ascii="Calibri" w:hAnsi="Calibri" w:eastAsia="宋体" w:cs="Arial"/>
      <w:kern w:val="2"/>
      <w:sz w:val="21"/>
      <w:szCs w:val="24"/>
      <w:lang w:val="en-US" w:eastAsia="zh-CN" w:bidi="ar-SA"/>
    </w:rPr>
  </w:style>
  <w:style w:type="paragraph" w:customStyle="1" w:styleId="23">
    <w:name w:val="样式 11 10 磅"/>
    <w:qFormat/>
    <w:uiPriority w:val="0"/>
    <w:pPr>
      <w:widowControl w:val="0"/>
      <w:jc w:val="both"/>
    </w:pPr>
    <w:rPr>
      <w:rFonts w:ascii="Calibri" w:hAnsi="Calibri" w:eastAsia="宋体" w:cs="Arial"/>
      <w:kern w:val="2"/>
      <w:sz w:val="21"/>
      <w:szCs w:val="24"/>
      <w:lang w:val="en-US" w:eastAsia="zh-CN" w:bidi="ar-SA"/>
    </w:rPr>
  </w:style>
  <w:style w:type="paragraph" w:customStyle="1" w:styleId="24">
    <w:name w:val="样式 12 10 磅"/>
    <w:qFormat/>
    <w:uiPriority w:val="0"/>
    <w:pPr>
      <w:widowControl w:val="0"/>
      <w:jc w:val="both"/>
    </w:pPr>
    <w:rPr>
      <w:rFonts w:ascii="Calibri" w:hAnsi="Calibri" w:eastAsia="宋体" w:cs="Arial"/>
      <w:kern w:val="2"/>
      <w:sz w:val="21"/>
      <w:szCs w:val="24"/>
      <w:lang w:val="en-US" w:eastAsia="zh-CN" w:bidi="ar-SA"/>
    </w:rPr>
  </w:style>
  <w:style w:type="paragraph" w:customStyle="1" w:styleId="25">
    <w:name w:val="样式 13 10 磅"/>
    <w:qFormat/>
    <w:uiPriority w:val="0"/>
    <w:pPr>
      <w:widowControl w:val="0"/>
      <w:jc w:val="both"/>
    </w:pPr>
    <w:rPr>
      <w:rFonts w:ascii="Calibri" w:hAnsi="Calibri" w:eastAsia="宋体" w:cs="Arial"/>
      <w:kern w:val="2"/>
      <w:sz w:val="21"/>
      <w:szCs w:val="24"/>
      <w:lang w:val="en-US" w:eastAsia="zh-CN" w:bidi="ar-SA"/>
    </w:rPr>
  </w:style>
  <w:style w:type="paragraph" w:customStyle="1" w:styleId="26">
    <w:name w:val="样式 14 10 磅"/>
    <w:qFormat/>
    <w:uiPriority w:val="0"/>
    <w:pPr>
      <w:widowControl w:val="0"/>
      <w:jc w:val="both"/>
    </w:pPr>
    <w:rPr>
      <w:rFonts w:ascii="Calibri" w:hAnsi="Calibri" w:eastAsia="宋体" w:cs="Arial"/>
      <w:kern w:val="2"/>
      <w:sz w:val="21"/>
      <w:szCs w:val="24"/>
      <w:lang w:val="en-US" w:eastAsia="zh-CN" w:bidi="ar-SA"/>
    </w:rPr>
  </w:style>
  <w:style w:type="paragraph" w:customStyle="1" w:styleId="27">
    <w:name w:val="样式 15 10 磅"/>
    <w:qFormat/>
    <w:uiPriority w:val="0"/>
    <w:pPr>
      <w:widowControl w:val="0"/>
      <w:jc w:val="both"/>
    </w:pPr>
    <w:rPr>
      <w:rFonts w:ascii="Calibri" w:hAnsi="Calibri" w:eastAsia="宋体" w:cs="Arial"/>
      <w:kern w:val="2"/>
      <w:sz w:val="21"/>
      <w:szCs w:val="24"/>
      <w:lang w:val="en-US" w:eastAsia="zh-CN" w:bidi="ar-SA"/>
    </w:rPr>
  </w:style>
  <w:style w:type="paragraph" w:customStyle="1" w:styleId="28">
    <w:name w:val="样式 16 10 磅"/>
    <w:qFormat/>
    <w:uiPriority w:val="0"/>
    <w:pPr>
      <w:widowControl w:val="0"/>
      <w:jc w:val="both"/>
    </w:pPr>
    <w:rPr>
      <w:rFonts w:ascii="Calibri" w:hAnsi="Calibri" w:eastAsia="宋体" w:cs="Arial"/>
      <w:kern w:val="2"/>
      <w:sz w:val="21"/>
      <w:szCs w:val="24"/>
      <w:lang w:val="en-US" w:eastAsia="zh-CN" w:bidi="ar-SA"/>
    </w:rPr>
  </w:style>
  <w:style w:type="paragraph" w:customStyle="1" w:styleId="29">
    <w:name w:val="样式 17 10 磅"/>
    <w:qFormat/>
    <w:uiPriority w:val="0"/>
    <w:pPr>
      <w:widowControl w:val="0"/>
      <w:jc w:val="both"/>
    </w:pPr>
    <w:rPr>
      <w:rFonts w:ascii="Calibri" w:hAnsi="Calibri" w:eastAsia="宋体" w:cs="Arial"/>
      <w:kern w:val="2"/>
      <w:sz w:val="21"/>
      <w:szCs w:val="24"/>
      <w:lang w:val="en-US" w:eastAsia="zh-CN" w:bidi="ar-SA"/>
    </w:rPr>
  </w:style>
  <w:style w:type="paragraph" w:customStyle="1" w:styleId="30">
    <w:name w:val="样式 三号"/>
    <w:qFormat/>
    <w:uiPriority w:val="0"/>
    <w:pPr>
      <w:widowControl w:val="0"/>
      <w:spacing w:line="560" w:lineRule="exact"/>
      <w:jc w:val="both"/>
    </w:pPr>
    <w:rPr>
      <w:rFonts w:ascii="Times New Roman" w:hAnsi="Times New Roman" w:eastAsia="方正仿宋_GBK" w:cs="Times New Roman"/>
      <w:kern w:val="2"/>
      <w:sz w:val="32"/>
      <w:lang w:val="en-US" w:eastAsia="zh-CN" w:bidi="ar-SA"/>
    </w:rPr>
  </w:style>
  <w:style w:type="paragraph" w:customStyle="1" w:styleId="31">
    <w:name w:val="样式 1 三号"/>
    <w:qFormat/>
    <w:uiPriority w:val="0"/>
    <w:pPr>
      <w:widowControl w:val="0"/>
      <w:spacing w:line="560" w:lineRule="exact"/>
      <w:jc w:val="both"/>
    </w:pPr>
    <w:rPr>
      <w:rFonts w:ascii="Times New Roman" w:hAnsi="Times New Roman" w:eastAsia="方正仿宋_GBK" w:cs="Times New Roman"/>
      <w:kern w:val="2"/>
      <w:sz w:val="32"/>
      <w:lang w:val="en-US" w:eastAsia="zh-CN" w:bidi="ar-SA"/>
    </w:rPr>
  </w:style>
  <w:style w:type="paragraph" w:customStyle="1" w:styleId="32">
    <w:name w:val="样式 18 10 磅"/>
    <w:qFormat/>
    <w:uiPriority w:val="0"/>
    <w:pPr>
      <w:widowControl w:val="0"/>
      <w:jc w:val="both"/>
    </w:pPr>
    <w:rPr>
      <w:rFonts w:ascii="Calibri" w:hAnsi="Calibri" w:eastAsia="宋体" w:cs="Arial"/>
      <w:kern w:val="2"/>
      <w:sz w:val="21"/>
      <w:szCs w:val="24"/>
      <w:lang w:val="en-US" w:eastAsia="zh-CN" w:bidi="ar-SA"/>
    </w:rPr>
  </w:style>
  <w:style w:type="paragraph" w:customStyle="1" w:styleId="33">
    <w:name w:val="样式 19 10 磅"/>
    <w:qFormat/>
    <w:uiPriority w:val="0"/>
    <w:pPr>
      <w:widowControl w:val="0"/>
      <w:jc w:val="both"/>
    </w:pPr>
    <w:rPr>
      <w:rFonts w:ascii="Calibri" w:hAnsi="Calibri" w:eastAsia="宋体" w:cs="Arial"/>
      <w:kern w:val="2"/>
      <w:sz w:val="21"/>
      <w:szCs w:val="24"/>
      <w:lang w:val="en-US" w:eastAsia="zh-CN" w:bidi="ar-SA"/>
    </w:rPr>
  </w:style>
  <w:style w:type="paragraph" w:customStyle="1" w:styleId="34">
    <w:name w:val="样式 20 10 磅"/>
    <w:qFormat/>
    <w:uiPriority w:val="0"/>
    <w:pPr>
      <w:widowControl w:val="0"/>
      <w:jc w:val="both"/>
    </w:pPr>
    <w:rPr>
      <w:rFonts w:ascii="Calibri" w:hAnsi="Calibri" w:eastAsia="宋体" w:cs="Arial"/>
      <w:kern w:val="2"/>
      <w:sz w:val="21"/>
      <w:szCs w:val="24"/>
      <w:lang w:val="en-US" w:eastAsia="zh-CN" w:bidi="ar-SA"/>
    </w:rPr>
  </w:style>
  <w:style w:type="paragraph" w:customStyle="1" w:styleId="35">
    <w:name w:val="样式 21 10 磅"/>
    <w:qFormat/>
    <w:uiPriority w:val="0"/>
    <w:pPr>
      <w:widowControl w:val="0"/>
      <w:jc w:val="both"/>
    </w:pPr>
    <w:rPr>
      <w:rFonts w:ascii="Calibri" w:hAnsi="Calibri" w:eastAsia="宋体" w:cs="Arial"/>
      <w:kern w:val="2"/>
      <w:sz w:val="21"/>
      <w:szCs w:val="24"/>
      <w:lang w:val="en-US" w:eastAsia="zh-CN" w:bidi="ar-SA"/>
    </w:rPr>
  </w:style>
  <w:style w:type="paragraph" w:customStyle="1" w:styleId="36">
    <w:name w:val="样式 22 10 磅"/>
    <w:qFormat/>
    <w:uiPriority w:val="0"/>
    <w:pPr>
      <w:widowControl w:val="0"/>
      <w:jc w:val="both"/>
    </w:pPr>
    <w:rPr>
      <w:rFonts w:ascii="Calibri" w:hAnsi="Calibri" w:eastAsia="宋体" w:cs="Arial"/>
      <w:kern w:val="2"/>
      <w:sz w:val="21"/>
      <w:szCs w:val="24"/>
      <w:lang w:val="en-US" w:eastAsia="zh-CN" w:bidi="ar-SA"/>
    </w:rPr>
  </w:style>
  <w:style w:type="paragraph" w:customStyle="1" w:styleId="37">
    <w:name w:val="样式 小四"/>
    <w:qFormat/>
    <w:uiPriority w:val="0"/>
    <w:pPr>
      <w:widowControl w:val="0"/>
    </w:pPr>
    <w:rPr>
      <w:rFonts w:ascii="宋体" w:hAnsi="Times New Roman" w:eastAsia="宋体" w:cs="Times New Roman"/>
      <w:kern w:val="2"/>
      <w:sz w:val="24"/>
      <w:szCs w:val="21"/>
      <w:lang w:val="en-US" w:eastAsia="zh-CN" w:bidi="ar-SA"/>
    </w:rPr>
  </w:style>
  <w:style w:type="paragraph" w:customStyle="1" w:styleId="38">
    <w:name w:val="样式 23 10 磅"/>
    <w:qFormat/>
    <w:uiPriority w:val="0"/>
    <w:pPr>
      <w:widowControl w:val="0"/>
      <w:jc w:val="both"/>
    </w:pPr>
    <w:rPr>
      <w:rFonts w:ascii="Calibri" w:hAnsi="Calibri" w:eastAsia="宋体" w:cs="Arial"/>
      <w:kern w:val="2"/>
      <w:sz w:val="21"/>
      <w:szCs w:val="24"/>
      <w:lang w:val="en-US" w:eastAsia="zh-CN" w:bidi="ar-SA"/>
    </w:rPr>
  </w:style>
  <w:style w:type="paragraph" w:customStyle="1" w:styleId="39">
    <w:name w:val="样式 24 10 磅"/>
    <w:qFormat/>
    <w:uiPriority w:val="0"/>
    <w:pPr>
      <w:widowControl w:val="0"/>
      <w:jc w:val="both"/>
    </w:pPr>
    <w:rPr>
      <w:rFonts w:ascii="Calibri" w:hAnsi="Calibri" w:eastAsia="宋体" w:cs="Arial"/>
      <w:kern w:val="2"/>
      <w:sz w:val="21"/>
      <w:szCs w:val="24"/>
      <w:lang w:val="en-US" w:eastAsia="zh-CN" w:bidi="ar-SA"/>
    </w:rPr>
  </w:style>
  <w:style w:type="paragraph" w:customStyle="1" w:styleId="40">
    <w:name w:val="样式 2 三号"/>
    <w:qFormat/>
    <w:uiPriority w:val="0"/>
    <w:pPr>
      <w:widowControl w:val="0"/>
      <w:spacing w:line="560" w:lineRule="exact"/>
      <w:jc w:val="both"/>
    </w:pPr>
    <w:rPr>
      <w:rFonts w:ascii="Times New Roman" w:hAnsi="Times New Roman" w:eastAsia="方正仿宋_GBK" w:cs="Times New Roman"/>
      <w:kern w:val="2"/>
      <w:sz w:val="32"/>
      <w:lang w:val="en-US" w:eastAsia="zh-CN" w:bidi="ar-SA"/>
    </w:rPr>
  </w:style>
  <w:style w:type="paragraph" w:customStyle="1" w:styleId="41">
    <w:name w:val="样式 3 三号"/>
    <w:qFormat/>
    <w:uiPriority w:val="0"/>
    <w:pPr>
      <w:widowControl w:val="0"/>
      <w:spacing w:line="560" w:lineRule="exact"/>
      <w:jc w:val="both"/>
    </w:pPr>
    <w:rPr>
      <w:rFonts w:ascii="Times New Roman" w:hAnsi="Times New Roman" w:eastAsia="方正仿宋_GBK" w:cs="Times New Roman"/>
      <w:kern w:val="2"/>
      <w:sz w:val="32"/>
      <w:lang w:val="en-US" w:eastAsia="zh-CN" w:bidi="ar-SA"/>
    </w:rPr>
  </w:style>
  <w:style w:type="paragraph" w:customStyle="1" w:styleId="42">
    <w:name w:val="样式 25 10 磅"/>
    <w:qFormat/>
    <w:uiPriority w:val="0"/>
    <w:pPr>
      <w:widowControl w:val="0"/>
      <w:jc w:val="both"/>
    </w:pPr>
    <w:rPr>
      <w:rFonts w:ascii="Calibri" w:hAnsi="Calibri" w:eastAsia="宋体" w:cs="Arial"/>
      <w:kern w:val="2"/>
      <w:sz w:val="21"/>
      <w:szCs w:val="24"/>
      <w:lang w:val="en-US" w:eastAsia="zh-CN" w:bidi="ar-SA"/>
    </w:rPr>
  </w:style>
  <w:style w:type="paragraph" w:customStyle="1" w:styleId="43">
    <w:name w:val="样式 26 10 磅"/>
    <w:qFormat/>
    <w:uiPriority w:val="0"/>
    <w:pPr>
      <w:widowControl w:val="0"/>
      <w:jc w:val="both"/>
    </w:pPr>
    <w:rPr>
      <w:rFonts w:ascii="Calibri" w:hAnsi="Calibri" w:eastAsia="宋体" w:cs="Arial"/>
      <w:kern w:val="2"/>
      <w:sz w:val="21"/>
      <w:szCs w:val="24"/>
      <w:lang w:val="en-US" w:eastAsia="zh-CN" w:bidi="ar-SA"/>
    </w:rPr>
  </w:style>
  <w:style w:type="paragraph" w:customStyle="1" w:styleId="44">
    <w:name w:val="样式 27 10 磅"/>
    <w:qFormat/>
    <w:uiPriority w:val="0"/>
    <w:pPr>
      <w:widowControl w:val="0"/>
      <w:jc w:val="both"/>
    </w:pPr>
    <w:rPr>
      <w:rFonts w:ascii="Calibri" w:hAnsi="Calibri" w:eastAsia="宋体" w:cs="Times New Roman"/>
      <w:kern w:val="2"/>
      <w:sz w:val="21"/>
      <w:szCs w:val="22"/>
      <w:lang w:val="en-US" w:eastAsia="zh-CN" w:bidi="ar-SA"/>
    </w:rPr>
  </w:style>
  <w:style w:type="paragraph" w:customStyle="1" w:styleId="45">
    <w:name w:val="样式 28 10 磅"/>
    <w:qFormat/>
    <w:uiPriority w:val="0"/>
    <w:pPr>
      <w:widowControl w:val="0"/>
      <w:jc w:val="both"/>
    </w:pPr>
    <w:rPr>
      <w:rFonts w:ascii="Calibri" w:hAnsi="Calibri" w:eastAsia="宋体" w:cs="Times New Roman"/>
      <w:kern w:val="2"/>
      <w:sz w:val="21"/>
      <w:szCs w:val="22"/>
      <w:lang w:val="en-US" w:eastAsia="zh-CN" w:bidi="ar-SA"/>
    </w:rPr>
  </w:style>
  <w:style w:type="paragraph" w:customStyle="1" w:styleId="46">
    <w:name w:val="样式 29 10 磅"/>
    <w:qFormat/>
    <w:uiPriority w:val="0"/>
    <w:pPr>
      <w:widowControl w:val="0"/>
      <w:jc w:val="both"/>
    </w:pPr>
    <w:rPr>
      <w:rFonts w:ascii="Calibri" w:hAnsi="Calibri" w:eastAsia="宋体" w:cs="Arial"/>
      <w:kern w:val="2"/>
      <w:sz w:val="21"/>
      <w:szCs w:val="24"/>
      <w:lang w:val="en-US" w:eastAsia="zh-CN" w:bidi="ar-SA"/>
    </w:rPr>
  </w:style>
  <w:style w:type="paragraph" w:customStyle="1" w:styleId="47">
    <w:name w:val="样式 30 10 磅"/>
    <w:qFormat/>
    <w:uiPriority w:val="0"/>
    <w:pPr>
      <w:widowControl w:val="0"/>
      <w:jc w:val="both"/>
    </w:pPr>
    <w:rPr>
      <w:rFonts w:ascii="Calibri" w:hAnsi="Calibri" w:eastAsia="宋体" w:cs="Arial"/>
      <w:kern w:val="2"/>
      <w:sz w:val="21"/>
      <w:szCs w:val="24"/>
      <w:lang w:val="en-US" w:eastAsia="zh-CN" w:bidi="ar-SA"/>
    </w:rPr>
  </w:style>
  <w:style w:type="paragraph" w:customStyle="1" w:styleId="48">
    <w:name w:val="样式 31 10 磅"/>
    <w:qFormat/>
    <w:uiPriority w:val="0"/>
    <w:pPr>
      <w:widowControl w:val="0"/>
      <w:jc w:val="both"/>
    </w:pPr>
    <w:rPr>
      <w:rFonts w:ascii="Calibri" w:hAnsi="Calibri" w:eastAsia="宋体" w:cs="Arial"/>
      <w:kern w:val="2"/>
      <w:sz w:val="21"/>
      <w:szCs w:val="24"/>
      <w:lang w:val="en-US" w:eastAsia="zh-CN" w:bidi="ar-SA"/>
    </w:rPr>
  </w:style>
  <w:style w:type="paragraph" w:customStyle="1" w:styleId="49">
    <w:name w:val="样式 32 10 磅"/>
    <w:qFormat/>
    <w:uiPriority w:val="0"/>
    <w:pPr>
      <w:widowControl w:val="0"/>
      <w:jc w:val="both"/>
    </w:pPr>
    <w:rPr>
      <w:rFonts w:ascii="Calibri" w:hAnsi="Calibri" w:eastAsia="宋体" w:cs="Arial"/>
      <w:kern w:val="2"/>
      <w:sz w:val="21"/>
      <w:szCs w:val="24"/>
      <w:lang w:val="en-US" w:eastAsia="zh-CN" w:bidi="ar-SA"/>
    </w:rPr>
  </w:style>
  <w:style w:type="paragraph" w:customStyle="1" w:styleId="50">
    <w:name w:val="Table Paragraph"/>
    <w:basedOn w:val="1"/>
    <w:qFormat/>
    <w:uiPriority w:val="1"/>
  </w:style>
  <w:style w:type="paragraph" w:customStyle="1" w:styleId="51">
    <w:name w:val="Revision"/>
    <w:hidden/>
    <w:unhideWhenUsed/>
    <w:qFormat/>
    <w:uiPriority w:val="99"/>
    <w:rPr>
      <w:rFonts w:ascii="Calibri" w:hAnsi="Calibri" w:eastAsia="宋体" w:cs="Arial"/>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4755</Words>
  <Characters>4942</Characters>
  <Lines>37</Lines>
  <Paragraphs>10</Paragraphs>
  <TotalTime>4</TotalTime>
  <ScaleCrop>false</ScaleCrop>
  <LinksUpToDate>false</LinksUpToDate>
  <CharactersWithSpaces>4944</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2025-05-16T10:09:00Z</dcterms:created>
  <dc:creator>阿牧古龙</dc:creator>
  <cp:lastModifiedBy>Lenovo</cp:lastModifiedBy>
  <cp:lastPrinted>2025-07-02T10:14:00Z</cp:lastPrinted>
  <dcterms:modified xsi:type="dcterms:W3CDTF">2026-09-08T06:23:45Z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3FA31E80E7354BC0ADD03C1108829782_13</vt:lpwstr>
  </property>
  <property fmtid="{D5CDD505-2E9C-101B-9397-08002B2CF9AE}" pid="4" name="KSOTemplateDocerSaveRecord">
    <vt:lpwstr>eyJoZGlkIjoiMjc5Mzg0YzE0NDViOThmZjE5ODBiOGI4YTJhY2MwNWYiLCJ1c2VySWQiOiI0MjY0OTk3NDEifQ==</vt:lpwstr>
  </property>
</Properties>
</file>