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hint="eastAsia"/>
          <w:sz w:val="44"/>
          <w:szCs w:val="44"/>
          <w:bdr w:val="none" w:sz="0" w:space="0" w:color="auto"/>
        </w:rPr>
      </w:pPr>
      <w:r>
        <w:rPr>
          <w:rFonts w:eastAsia="方正小标宋_GBK"/>
          <w:sz w:val="44"/>
          <w:szCs w:val="44"/>
          <w:bdr w:val="none" w:sz="0" w:space="0" w:color="auto"/>
        </w:rPr>
        <w:t>东乌</w:t>
      </w:r>
      <w:r>
        <w:rPr>
          <w:rFonts w:eastAsia="方正小标宋_GBK" w:hint="eastAsia"/>
          <w:sz w:val="44"/>
          <w:szCs w:val="44"/>
          <w:bdr w:val="none" w:sz="0" w:space="0" w:color="auto"/>
        </w:rPr>
        <w:t>海关政务服务事项办事指南</w:t>
      </w:r>
    </w:p>
    <w:p>
      <w:pPr>
        <w:spacing w:line="560" w:lineRule="exact"/>
        <w:jc w:val="center"/>
        <w:rPr>
          <w:rFonts w:eastAsia="方正小标宋_GBK" w:hint="eastAsia"/>
          <w:sz w:val="32"/>
          <w:szCs w:val="32"/>
          <w:bdr w:val="none" w:sz="0" w:space="0" w:color="auto"/>
        </w:rPr>
      </w:pPr>
      <w:r>
        <w:rPr>
          <w:rFonts w:eastAsia="方正小标宋_GBK" w:hint="eastAsia"/>
          <w:sz w:val="32"/>
          <w:szCs w:val="32"/>
          <w:bdr w:val="none" w:sz="0" w:space="0" w:color="auto"/>
        </w:rPr>
        <w:t>（000129012002）</w:t>
      </w:r>
    </w:p>
    <w:p>
      <w:pPr>
        <w:spacing w:line="560" w:lineRule="exact"/>
        <w:jc w:val="center"/>
        <w:rPr>
          <w:rFonts w:eastAsia="方正小标宋_GBK" w:hint="eastAsia"/>
          <w:sz w:val="32"/>
          <w:szCs w:val="32"/>
          <w:bdr w:val="none" w:sz="0" w:space="0" w:color="auto"/>
        </w:rPr>
      </w:pPr>
      <w:r>
        <w:rPr>
          <w:rFonts w:eastAsia="方正小标宋_GBK" w:hint="eastAsia"/>
          <w:sz w:val="32"/>
          <w:szCs w:val="32"/>
        </w:rPr>
        <w:t>“</w:t>
      </w:r>
      <w:r>
        <w:rPr>
          <w:rFonts w:eastAsia="方正小标宋_GBK" w:hint="eastAsia"/>
          <w:sz w:val="32"/>
          <w:szCs w:val="32"/>
          <w:bdr w:val="none" w:sz="0" w:space="0" w:color="auto"/>
        </w:rPr>
        <w:t>出口食品生产企业备案核准”政务服务事项办事指南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hint="eastAsia"/>
          <w:bCs/>
          <w:sz w:val="32"/>
          <w:szCs w:val="32"/>
        </w:rPr>
      </w:pPr>
      <w:r>
        <w:rPr>
          <w:rFonts w:eastAsia="方正黑体_GBK" w:hint="eastAsia"/>
          <w:sz w:val="32"/>
          <w:szCs w:val="32"/>
        </w:rPr>
        <w:t>一、事项名称：</w:t>
      </w:r>
      <w:r>
        <w:rPr>
          <w:rFonts w:ascii="方正仿宋_GBK" w:eastAsia="方正仿宋_GBK" w:hint="eastAsia"/>
          <w:sz w:val="32"/>
          <w:szCs w:val="32"/>
        </w:rPr>
        <w:t>出口食品生产企业备案核准</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二、事项类型：</w:t>
      </w:r>
      <w:r>
        <w:rPr>
          <w:rFonts w:ascii="方正仿宋_GBK" w:eastAsia="方正仿宋_GBK" w:hint="eastAsia"/>
          <w:sz w:val="32"/>
          <w:szCs w:val="32"/>
        </w:rPr>
        <w:t>行政许可</w:t>
      </w:r>
    </w:p>
    <w:p>
      <w:pPr>
        <w:widowControl/>
        <w:spacing w:line="560" w:lineRule="exact"/>
        <w:ind w:firstLineChars="200" w:firstLine="640"/>
        <w:rPr>
          <w:rFonts w:eastAsia="方正黑体_GBK" w:hint="eastAsia"/>
          <w:bCs/>
          <w:sz w:val="32"/>
          <w:szCs w:val="32"/>
        </w:rPr>
      </w:pPr>
      <w:r>
        <w:rPr>
          <w:rFonts w:eastAsia="方正黑体_GBK" w:hint="eastAsia"/>
          <w:bCs/>
          <w:sz w:val="32"/>
          <w:szCs w:val="32"/>
        </w:rPr>
        <w:t>三、设定依据：</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（一）《中华人民共和国食品安全法》</w:t>
      </w:r>
    </w:p>
    <w:p>
      <w:pPr>
        <w:widowControl/>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第九十九条  出口食品生产企业和出口食品原料种植、养殖场应当向国家出入境检验检疫部门备案。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（二）《出口食品生产企业备案管理规定》</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第二条  国家实行出口食品生产企业备案管理制度。</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（三）《关于开展“证照分离”改革全覆盖试点的公告》（中华人民共和国海关总署公告2019年第182号）</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在全国范围内，对“出口食品生产企业备案核准”实施“审批改为备案”改革。</w:t>
      </w:r>
    </w:p>
    <w:p>
      <w:pPr>
        <w:spacing w:line="560" w:lineRule="exact"/>
        <w:ind w:firstLineChars="200" w:firstLine="640"/>
        <w:rPr>
          <w:rFonts w:ascii="仿宋" w:eastAsia="仿宋" w:hint="eastAsia"/>
          <w:b/>
          <w:bCs/>
          <w:color w:val="FF0000"/>
          <w:sz w:val="32"/>
          <w:szCs w:val="32"/>
        </w:rPr>
      </w:pPr>
      <w:r>
        <w:rPr>
          <w:rFonts w:eastAsia="方正黑体_GBK" w:hint="eastAsia"/>
          <w:bCs/>
          <w:sz w:val="32"/>
          <w:szCs w:val="32"/>
        </w:rPr>
        <w:t>四、实施机构：</w:t>
      </w:r>
      <w:r>
        <w:rPr>
          <w:rFonts w:ascii="方正仿宋_GBK" w:eastAsia="方正仿宋_GBK"/>
          <w:sz w:val="32"/>
          <w:szCs w:val="32"/>
        </w:rPr>
        <w:t>东乌海关综合业务科</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五、法定办结时限：</w:t>
      </w:r>
      <w:r>
        <w:rPr>
          <w:rFonts w:ascii="方正仿宋_GBK" w:eastAsia="方正仿宋_GBK" w:hint="eastAsia"/>
          <w:bCs/>
          <w:sz w:val="32"/>
          <w:szCs w:val="32"/>
        </w:rPr>
        <w:t>20个工作日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六、承诺办结时限：</w:t>
      </w:r>
      <w:r>
        <w:rPr>
          <w:rFonts w:ascii="方正仿宋_GBK" w:eastAsia="方正仿宋_GBK" w:hint="eastAsia"/>
          <w:bCs/>
          <w:sz w:val="32"/>
          <w:szCs w:val="32"/>
        </w:rPr>
        <w:t>5个工作日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七、结果名称：</w:t>
      </w:r>
      <w:r>
        <w:rPr>
          <w:rFonts w:ascii="方正仿宋_GBK" w:eastAsia="方正仿宋_GBK" w:hint="eastAsia"/>
          <w:sz w:val="32"/>
          <w:szCs w:val="32"/>
        </w:rPr>
        <w:t>出口食品生产企业备案号</w:t>
      </w:r>
    </w:p>
    <w:p>
      <w:pPr>
        <w:spacing w:line="560" w:lineRule="exact"/>
        <w:ind w:firstLineChars="200" w:firstLine="640"/>
        <w:rPr>
          <w:rFonts w:eastAsia="方正仿宋_GBK" w:hint="eastAsia"/>
          <w:bCs/>
          <w:sz w:val="32"/>
          <w:szCs w:val="32"/>
        </w:rPr>
      </w:pPr>
      <w:r>
        <w:rPr>
          <w:rFonts w:eastAsia="方正黑体_GBK" w:hint="eastAsia"/>
          <w:bCs/>
          <w:sz w:val="32"/>
          <w:szCs w:val="32"/>
        </w:rPr>
        <w:t>八、结果样本：</w:t>
      </w:r>
      <w:r>
        <w:rPr>
          <w:rFonts w:ascii="方正仿宋_GBK" w:eastAsia="方正仿宋_GBK" w:hint="eastAsia"/>
          <w:sz w:val="32"/>
          <w:szCs w:val="32"/>
        </w:rPr>
        <w:t>《出口食品生产企业备案证明》</w:t>
      </w:r>
    </w:p>
    <w:p>
      <w:pPr>
        <w:spacing w:line="560" w:lineRule="exact"/>
        <w:ind w:firstLineChars="200" w:firstLine="640"/>
        <w:rPr>
          <w:rFonts w:ascii="方正仿宋_GBK" w:eastAsia="方正黑体_GBK" w:hAnsi="方正仿宋_GBK" w:hint="eastAsia"/>
          <w:sz w:val="32"/>
          <w:szCs w:val="32"/>
        </w:rPr>
      </w:pPr>
      <w:r>
        <w:rPr>
          <w:rFonts w:eastAsia="方正黑体_GBK" w:hint="eastAsia"/>
          <w:bCs/>
          <w:sz w:val="32"/>
          <w:szCs w:val="32"/>
        </w:rPr>
        <w:t>九、收费标准：</w:t>
      </w:r>
      <w:r>
        <w:rPr>
          <w:rFonts w:ascii="方正仿宋_GBK" w:eastAsia="方正仿宋_GBK" w:hint="eastAsia"/>
          <w:sz w:val="32"/>
          <w:szCs w:val="32"/>
        </w:rPr>
        <w:t>不收费</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ascii="方正仿宋_GBK" w:eastAsia="方正仿宋_GBK" w:hint="eastAsia"/>
          <w:sz w:val="32"/>
          <w:szCs w:val="32"/>
        </w:rPr>
        <w:t>无</w:t>
      </w:r>
    </w:p>
    <w:p>
      <w:pPr>
        <w:spacing w:line="560" w:lineRule="exact"/>
        <w:ind w:firstLineChars="200" w:firstLine="640"/>
        <w:rPr>
          <w:rFonts w:eastAsia="方正黑体_GBK" w:hint="eastAsia"/>
          <w:bCs/>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p>
    <w:p>
      <w:pPr>
        <w:autoSpaceDN w:val="0"/>
        <w:adjustRightInd w:val="0"/>
        <w:snapToGrid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（一）中华人民共和国境内拟从事出口的食品生产企业。</w:t>
      </w:r>
    </w:p>
    <w:p>
      <w:pPr>
        <w:autoSpaceDN w:val="0"/>
        <w:adjustRightInd w:val="0"/>
        <w:snapToGrid w:val="0"/>
        <w:spacing w:line="560" w:lineRule="exact"/>
        <w:ind w:firstLineChars="200" w:firstLine="640"/>
        <w:rPr>
          <w:rFonts w:eastAsia="方正黑体_GBK" w:hint="eastAsia"/>
          <w:bCs/>
          <w:sz w:val="32"/>
          <w:szCs w:val="32"/>
          <w:highlight w:val="yellow"/>
        </w:rPr>
      </w:pPr>
      <w:r>
        <w:rPr>
          <w:rFonts w:ascii="方正仿宋_GBK" w:eastAsia="方正仿宋_GBK" w:hint="eastAsia"/>
          <w:sz w:val="32"/>
          <w:szCs w:val="32"/>
        </w:rPr>
        <w:t>（二）应当建立和实施以危害分析和预防控制措施为核心的食品安全卫生控制体系，该体系还应当包括食品防护计划。出口食品生产企业应当保证食品安全卫生控制体系有效运行，确保出口食品生产、加工、储存过程持续符合我国相关法律法规和出口食品生产企业安全卫生要求，以及进口国（地区）相关法律法规要求。</w:t>
      </w:r>
    </w:p>
    <w:p>
      <w:pPr>
        <w:spacing w:line="560" w:lineRule="exact"/>
        <w:ind w:firstLineChars="200" w:firstLine="640"/>
        <w:rPr>
          <w:rFonts w:eastAsia="方正仿宋_GBK" w:hint="eastAsia"/>
          <w:bCs/>
          <w:sz w:val="32"/>
          <w:szCs w:val="32"/>
        </w:rPr>
      </w:pPr>
      <w:r>
        <w:rPr>
          <w:rFonts w:eastAsia="方正黑体_GBK" w:hint="eastAsia"/>
          <w:bCs/>
          <w:sz w:val="32"/>
          <w:szCs w:val="32"/>
        </w:rPr>
        <w:t>十</w:t>
      </w:r>
      <w:r>
        <w:rPr>
          <w:rFonts w:eastAsia="方正黑体_GBK"/>
          <w:bCs/>
          <w:sz w:val="32"/>
          <w:szCs w:val="32"/>
        </w:rPr>
        <w:t>二</w:t>
      </w:r>
      <w:r>
        <w:rPr>
          <w:rFonts w:eastAsia="方正黑体_GBK" w:hint="eastAsia"/>
          <w:bCs/>
          <w:sz w:val="32"/>
          <w:szCs w:val="32"/>
        </w:rPr>
        <w:t>、申请材料：</w:t>
      </w:r>
    </w:p>
    <w:p>
      <w:pPr>
        <w:widowControl/>
        <w:ind w:firstLineChars="200" w:firstLine="640"/>
        <w:rPr>
          <w:rFonts w:ascii="方正仿宋_GBK" w:eastAsia="方正仿宋_GBK" w:hint="eastAsia"/>
          <w:sz w:val="32"/>
          <w:szCs w:val="32"/>
        </w:rPr>
      </w:pPr>
      <w:r>
        <w:rPr>
          <w:rFonts w:ascii="方正仿宋_GBK" w:eastAsia="方正仿宋_GBK" w:hint="eastAsia"/>
          <w:sz w:val="32"/>
          <w:szCs w:val="32"/>
        </w:rPr>
        <w:t>出口食品生产企业备案申请表（要求填写完整，加盖公章，原件电子版，</w:t>
      </w:r>
      <w:r>
        <w:rPr>
          <w:rFonts w:eastAsia="方正仿宋_GBK" w:hint="eastAsia"/>
          <w:sz w:val="32"/>
          <w:szCs w:val="32"/>
        </w:rPr>
        <w:t>1</w:t>
      </w:r>
      <w:r>
        <w:rPr>
          <w:rFonts w:ascii="方正仿宋_GBK" w:eastAsia="方正仿宋_GBK" w:hint="eastAsia"/>
          <w:sz w:val="32"/>
          <w:szCs w:val="32"/>
        </w:rPr>
        <w:t>份）。</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三</w:t>
      </w:r>
      <w:r>
        <w:rPr>
          <w:rFonts w:eastAsia="方正黑体_GBK" w:hint="eastAsia"/>
          <w:bCs/>
          <w:sz w:val="32"/>
          <w:szCs w:val="32"/>
        </w:rPr>
        <w:t>、办理流程：</w:t>
      </w:r>
      <w:r>
        <w:rPr>
          <w:rFonts w:eastAsia="方正仿宋_GBK" w:hint="eastAsia"/>
          <w:bCs/>
          <w:sz w:val="32"/>
          <w:szCs w:val="32"/>
        </w:rPr>
        <w:t xml:space="preserve"> </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（一）申请备案。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1.申请人通过中国出口食品生产企业备案管理系统（</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Style w:val="19"/>
          <w:rFonts w:ascii="方正仿宋_GBK" w:eastAsia="方正仿宋_GBK" w:hint="eastAsia"/>
          <w:color w:val="auto"/>
          <w:sz w:val="32"/>
          <w:szCs w:val="32"/>
        </w:rPr>
        <w:t>）</w:t>
      </w:r>
      <w:r>
        <w:rPr>
          <w:rStyle w:val="19"/>
          <w:rFonts w:hint="eastAsia"/>
          <w:sz w:val="32"/>
          <w:szCs w:val="32"/>
        </w:rPr>
        <w:fldChar w:fldCharType="end"/>
      </w:r>
      <w:r>
        <w:rPr>
          <w:rFonts w:ascii="方正仿宋_GBK" w:eastAsia="方正仿宋_GBK" w:hint="eastAsia"/>
          <w:sz w:val="32"/>
          <w:szCs w:val="32"/>
        </w:rPr>
        <w:t>向所在地主管海关提出申请并上传材料。</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2.主管海关对申请人提出的申请进行审核，对材料齐全、符合法定条件的，核发《出口食品生产企业备案证明》（以下简称《备案证明》）</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（二）备案变更。</w:t>
      </w:r>
    </w:p>
    <w:p>
      <w:pPr>
        <w:pStyle w:val="20"/>
        <w:spacing w:line="560" w:lineRule="exact"/>
        <w:jc w:val="left"/>
        <w:rPr>
          <w:rFonts w:ascii="方正仿宋_GBK" w:eastAsia="方正仿宋_GBK" w:hint="eastAsia"/>
          <w:sz w:val="32"/>
          <w:szCs w:val="32"/>
        </w:rPr>
      </w:pPr>
      <w:r>
        <w:rPr>
          <w:rFonts w:ascii="方正仿宋_GBK" w:eastAsia="方正仿宋_GBK" w:hint="eastAsia"/>
          <w:sz w:val="32"/>
          <w:szCs w:val="32"/>
        </w:rPr>
        <w:t>出口食品生产企业的名称、法定代表人，生产企业地址发生变化的，申请人应当自发生变更之日起15日内，通过中国出口食品生产企业备案管理系统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向原发证海关递交申请材料，原发证海关对申请变更内容进行审核。变更申请材料齐全、证明材料真实有效的，准予变更。</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（三）备案的注销。</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申请人需要注销《备案证明》的，向</w:t>
      </w:r>
      <w:r>
        <w:rPr>
          <w:rFonts w:ascii="方正仿宋_GBK" w:eastAsia="方正仿宋_GBK"/>
          <w:sz w:val="32"/>
          <w:szCs w:val="32"/>
        </w:rPr>
        <w:t>二连</w:t>
      </w:r>
      <w:r>
        <w:rPr>
          <w:rFonts w:ascii="方正仿宋_GBK" w:eastAsia="方正仿宋_GBK" w:hint="eastAsia"/>
          <w:sz w:val="32"/>
          <w:szCs w:val="32"/>
        </w:rPr>
        <w:t>海关提出书面申请，经主管海关审核后，办理注销手续。</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四</w:t>
      </w:r>
      <w:r>
        <w:rPr>
          <w:rFonts w:eastAsia="方正黑体_GBK" w:hint="eastAsia"/>
          <w:bCs/>
          <w:sz w:val="32"/>
          <w:szCs w:val="32"/>
        </w:rPr>
        <w:t>、办理形式：</w:t>
      </w:r>
      <w:r>
        <w:rPr>
          <w:rFonts w:ascii="方正仿宋_GBK" w:eastAsia="方正仿宋_GBK" w:hint="eastAsia"/>
          <w:sz w:val="32"/>
          <w:szCs w:val="32"/>
        </w:rPr>
        <w:t>网上办理、窗口办理。</w:t>
      </w:r>
    </w:p>
    <w:p>
      <w:pPr>
        <w:spacing w:line="560" w:lineRule="exact"/>
        <w:ind w:firstLineChars="200" w:firstLine="640"/>
        <w:rPr>
          <w:rFonts w:eastAsia="方正黑体_GBK"/>
          <w:bCs/>
          <w:sz w:val="32"/>
          <w:szCs w:val="32"/>
        </w:rPr>
      </w:pPr>
      <w:r>
        <w:rPr>
          <w:rFonts w:eastAsia="方正黑体_GBK" w:hint="eastAsia"/>
          <w:bCs/>
          <w:sz w:val="32"/>
          <w:szCs w:val="32"/>
        </w:rPr>
        <w:t>十五、到办理现场次数：</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w:t>
      </w:r>
      <w:r>
        <w:rPr>
          <w:rFonts w:ascii="方正仿宋_GBK" w:eastAsia="方正仿宋_GBK"/>
          <w:sz w:val="32"/>
          <w:szCs w:val="32"/>
        </w:rPr>
        <w:t>：</w:t>
      </w:r>
      <w:r>
        <w:rPr>
          <w:rFonts w:ascii="方正仿宋_GBK" w:eastAsia="方正仿宋_GBK" w:hint="eastAsia"/>
          <w:sz w:val="32"/>
          <w:szCs w:val="32"/>
        </w:rPr>
        <w:t>0次</w:t>
      </w:r>
      <w:r>
        <w:rPr>
          <w:rFonts w:ascii="方正仿宋_GBK" w:eastAsia="方正仿宋_GBK"/>
          <w:sz w:val="32"/>
          <w:szCs w:val="32"/>
        </w:rPr>
        <w:t>；</w:t>
      </w:r>
      <w:r>
        <w:rPr>
          <w:rFonts w:ascii="方正仿宋_GBK" w:eastAsia="方正仿宋_GBK" w:hint="eastAsia"/>
          <w:sz w:val="32"/>
          <w:szCs w:val="32"/>
        </w:rPr>
        <w:t>窗口办理</w:t>
      </w:r>
      <w:r>
        <w:rPr>
          <w:rFonts w:ascii="方正仿宋_GBK" w:eastAsia="方正仿宋_GBK"/>
          <w:sz w:val="32"/>
          <w:szCs w:val="32"/>
        </w:rPr>
        <w:t>：</w:t>
      </w:r>
      <w:r>
        <w:rPr>
          <w:rFonts w:ascii="方正仿宋_GBK" w:eastAsia="方正仿宋_GBK" w:hint="eastAsia"/>
          <w:sz w:val="32"/>
          <w:szCs w:val="32"/>
        </w:rPr>
        <w:t>1次。</w:t>
      </w:r>
    </w:p>
    <w:p>
      <w:pPr>
        <w:spacing w:line="560" w:lineRule="exact"/>
        <w:ind w:firstLineChars="200" w:firstLine="640"/>
        <w:rPr>
          <w:rFonts w:eastAsia="方正仿宋_GBK" w:hint="eastAsia"/>
          <w:bCs/>
          <w:sz w:val="32"/>
          <w:szCs w:val="32"/>
        </w:rPr>
      </w:pPr>
      <w:r>
        <w:rPr>
          <w:rFonts w:eastAsia="方正黑体_GBK" w:hint="eastAsia"/>
          <w:bCs/>
          <w:sz w:val="32"/>
          <w:szCs w:val="32"/>
        </w:rPr>
        <w:t>十六、审查标准：</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申请材料填写准确、完整、真实、有效。</w:t>
      </w:r>
    </w:p>
    <w:p>
      <w:pPr>
        <w:spacing w:line="560" w:lineRule="exact"/>
        <w:ind w:firstLineChars="200" w:firstLine="640"/>
        <w:rPr>
          <w:rFonts w:ascii="仿宋" w:eastAsia="仿宋" w:hint="eastAsia"/>
          <w:b/>
          <w:sz w:val="32"/>
          <w:szCs w:val="32"/>
        </w:rPr>
      </w:pPr>
      <w:r>
        <w:rPr>
          <w:rFonts w:eastAsia="方正黑体_GBK" w:hint="eastAsia"/>
          <w:bCs/>
          <w:sz w:val="32"/>
          <w:szCs w:val="32"/>
        </w:rPr>
        <w:t>十七、通办范围：</w:t>
      </w:r>
      <w:r>
        <w:rPr>
          <w:rFonts w:ascii="方正仿宋_GBK" w:eastAsia="方正仿宋_GBK"/>
          <w:bCs/>
          <w:sz w:val="32"/>
          <w:szCs w:val="32"/>
        </w:rPr>
        <w:t>东乌</w:t>
      </w:r>
      <w:r>
        <w:rPr>
          <w:rFonts w:ascii="方正仿宋_GBK" w:eastAsia="方正仿宋_GBK" w:cs="仿宋" w:hint="eastAsia"/>
          <w:color w:val="000000"/>
          <w:sz w:val="32"/>
          <w:szCs w:val="32"/>
          <w:lang w:bidi="ar-SA"/>
        </w:rPr>
        <w:t>海关。</w:t>
      </w:r>
    </w:p>
    <w:p>
      <w:pPr>
        <w:spacing w:line="560" w:lineRule="exact"/>
        <w:ind w:firstLineChars="200" w:firstLine="640"/>
        <w:rPr>
          <w:rFonts w:ascii="仿宋" w:eastAsia="仿宋" w:hint="eastAsia"/>
          <w:b/>
          <w:bCs/>
          <w:sz w:val="32"/>
          <w:szCs w:val="32"/>
        </w:rPr>
      </w:pPr>
      <w:r>
        <w:rPr>
          <w:rFonts w:eastAsia="方正黑体_GBK" w:hint="eastAsia"/>
          <w:bCs/>
          <w:sz w:val="32"/>
          <w:szCs w:val="32"/>
        </w:rPr>
        <w:t>十八、预约办理：</w:t>
      </w:r>
      <w:r>
        <w:rPr>
          <w:rFonts w:ascii="方正仿宋_GBK" w:eastAsia="方正仿宋_GBK" w:hint="eastAsia"/>
          <w:sz w:val="32"/>
          <w:szCs w:val="32"/>
        </w:rPr>
        <w:t>否</w:t>
      </w:r>
    </w:p>
    <w:p>
      <w:pPr>
        <w:spacing w:line="560" w:lineRule="exact"/>
        <w:ind w:firstLineChars="200" w:firstLine="640"/>
        <w:rPr>
          <w:rFonts w:eastAsia="方正仿宋_GBK" w:hint="eastAsia"/>
          <w:bCs/>
          <w:sz w:val="32"/>
          <w:szCs w:val="32"/>
        </w:rPr>
      </w:pPr>
      <w:r>
        <w:rPr>
          <w:rFonts w:eastAsia="方正黑体_GBK" w:hint="eastAsia"/>
          <w:bCs/>
          <w:sz w:val="32"/>
          <w:szCs w:val="32"/>
        </w:rPr>
        <w:t>十九、网上支付：</w:t>
      </w:r>
      <w:r>
        <w:rPr>
          <w:rFonts w:ascii="方正仿宋_GBK" w:eastAsia="方正仿宋_GBK" w:hint="eastAsia"/>
          <w:sz w:val="32"/>
          <w:szCs w:val="32"/>
        </w:rPr>
        <w:t>否</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二十、物流快递：</w:t>
      </w:r>
      <w:r>
        <w:rPr>
          <w:rFonts w:ascii="方正仿宋_GBK" w:eastAsia="方正仿宋_GBK" w:hint="eastAsia"/>
          <w:sz w:val="32"/>
          <w:szCs w:val="32"/>
        </w:rPr>
        <w:t>否</w:t>
      </w:r>
    </w:p>
    <w:p>
      <w:pPr>
        <w:spacing w:line="560" w:lineRule="exact"/>
        <w:ind w:firstLineChars="200" w:firstLine="640"/>
        <w:rPr>
          <w:rFonts w:eastAsia="方正黑体_GBK" w:hint="eastAsia"/>
          <w:bCs/>
          <w:sz w:val="32"/>
          <w:szCs w:val="32"/>
        </w:rPr>
      </w:pPr>
      <w:r>
        <w:rPr>
          <w:rFonts w:eastAsia="方正黑体_GBK"/>
          <w:bCs/>
          <w:sz w:val="32"/>
          <w:szCs w:val="32"/>
        </w:rPr>
        <w:t>二</w:t>
      </w:r>
      <w:r>
        <w:rPr>
          <w:rFonts w:eastAsia="方正黑体_GBK" w:hint="eastAsia"/>
          <w:bCs/>
          <w:sz w:val="32"/>
          <w:szCs w:val="32"/>
        </w:rPr>
        <w:t>十一、办理地点：</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w:t>
      </w:r>
    </w:p>
    <w:p>
      <w:pPr>
        <w:spacing w:line="560" w:lineRule="exact"/>
        <w:ind w:firstLineChars="200" w:firstLine="640"/>
        <w:jc w:val="left"/>
        <w:rPr>
          <w:rFonts w:ascii="方正仿宋_GBK" w:eastAsia="方正仿宋_GBK" w:hint="eastAsia"/>
          <w:sz w:val="32"/>
          <w:szCs w:val="32"/>
        </w:rPr>
      </w:pPr>
      <w:r>
        <w:rPr>
          <w:rFonts w:ascii="方正仿宋_GBK" w:eastAsia="方正仿宋_GBK" w:hint="eastAsia"/>
          <w:sz w:val="32"/>
          <w:szCs w:val="32"/>
        </w:rPr>
        <w:t>窗口办理：</w:t>
      </w:r>
      <w:r>
        <w:rPr>
          <w:rFonts w:ascii="方正仿宋_GBK" w:eastAsia="方正仿宋_GBK"/>
          <w:sz w:val="32"/>
          <w:szCs w:val="32"/>
        </w:rPr>
        <w:t>东乌海关机关办公楼一楼大厅（地址：锡林浩特市团结大街</w:t>
      </w:r>
      <w:r>
        <w:rPr>
          <w:rFonts w:ascii="Calibri" w:eastAsia="方正仿宋_GBK" w:cs="方正仿宋_GBK" w:hAnsi="Calibri"/>
          <w:sz w:val="32"/>
          <w:szCs w:val="32"/>
        </w:rPr>
        <w:t>11</w:t>
      </w:r>
      <w:r>
        <w:rPr>
          <w:rFonts w:ascii="方正仿宋_GBK" w:eastAsia="方正仿宋_GBK"/>
          <w:sz w:val="32"/>
          <w:szCs w:val="32"/>
        </w:rPr>
        <w:t>号）</w:t>
      </w:r>
      <w:r>
        <w:rPr>
          <w:rFonts w:eastAsia="方正仿宋_GBK" w:hint="eastAsia"/>
          <w:bCs/>
          <w:sz w:val="32"/>
          <w:szCs w:val="32"/>
        </w:rPr>
        <w:t>。</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二</w:t>
      </w:r>
      <w:r>
        <w:rPr>
          <w:rFonts w:eastAsia="方正黑体_GBK"/>
          <w:bCs/>
          <w:sz w:val="32"/>
          <w:szCs w:val="32"/>
        </w:rPr>
        <w:t>、办理时间：</w:t>
      </w:r>
    </w:p>
    <w:p>
      <w:pPr>
        <w:pStyle w:val="21"/>
        <w:spacing w:line="560" w:lineRule="exact"/>
        <w:ind w:firstLineChars="200" w:firstLine="640"/>
        <w:rPr>
          <w:rFonts w:eastAsia="方正仿宋_GBK" w:hint="eastAsia"/>
          <w:sz w:val="32"/>
          <w:szCs w:val="32"/>
        </w:rPr>
      </w:pPr>
      <w:r>
        <w:rPr>
          <w:rFonts w:eastAsia="方正仿宋_GBK" w:hint="eastAsia"/>
          <w:sz w:val="32"/>
          <w:szCs w:val="32"/>
        </w:rPr>
        <w:t>（一）企业在线申请时间：24小时。</w:t>
      </w:r>
    </w:p>
    <w:p>
      <w:pPr>
        <w:spacing w:line="560" w:lineRule="exact"/>
        <w:ind w:firstLineChars="200" w:firstLine="640"/>
        <w:rPr>
          <w:rFonts w:eastAsia="方正仿宋_GBK"/>
          <w:sz w:val="32"/>
          <w:szCs w:val="32"/>
        </w:rPr>
      </w:pPr>
      <w:r>
        <w:rPr>
          <w:rFonts w:eastAsia="方正仿宋_GBK" w:hint="eastAsia"/>
          <w:sz w:val="32"/>
          <w:szCs w:val="32"/>
        </w:rPr>
        <w:t>（二）</w:t>
      </w:r>
      <w:r>
        <w:rPr>
          <w:rFonts w:eastAsia="方正仿宋_GBK"/>
          <w:sz w:val="32"/>
          <w:szCs w:val="32"/>
        </w:rPr>
        <w:t>东乌</w:t>
      </w:r>
      <w:r>
        <w:rPr>
          <w:rFonts w:eastAsia="方正仿宋_GBK" w:hint="eastAsia"/>
          <w:sz w:val="32"/>
          <w:szCs w:val="32"/>
        </w:rPr>
        <w:t>海关窗口办理时间：</w:t>
      </w:r>
    </w:p>
    <w:p>
      <w:pPr>
        <w:spacing w:line="560" w:lineRule="exact"/>
        <w:ind w:firstLineChars="200" w:firstLine="640"/>
        <w:rPr>
          <w:rFonts w:eastAsia="方正仿宋_GBK" w:hint="eastAsia"/>
          <w:sz w:val="32"/>
          <w:szCs w:val="32"/>
        </w:rPr>
      </w:pPr>
      <w:r>
        <w:rPr>
          <w:rFonts w:ascii="Calibri" w:eastAsia="方正仿宋_GBK" w:cs="方正仿宋_GBK" w:hAnsi="Calibri"/>
          <w:sz w:val="32"/>
          <w:szCs w:val="32"/>
        </w:rPr>
        <w:t>工作日上午8:30-12:00  下午14:30-17:30</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三</w:t>
      </w:r>
      <w:r>
        <w:rPr>
          <w:rFonts w:eastAsia="方正黑体_GBK"/>
          <w:bCs/>
          <w:sz w:val="32"/>
          <w:szCs w:val="32"/>
        </w:rPr>
        <w:t>、咨询电话：</w:t>
      </w:r>
    </w:p>
    <w:p>
      <w:pPr>
        <w:spacing w:line="560" w:lineRule="exact"/>
        <w:ind w:firstLineChars="200" w:firstLine="640"/>
        <w:rPr>
          <w:rFonts w:ascii="方正仿宋_GBK" w:eastAsia="方正仿宋_GBK" w:hint="eastAsia"/>
          <w:sz w:val="32"/>
          <w:szCs w:val="32"/>
        </w:rPr>
      </w:pPr>
      <w:r>
        <w:rPr>
          <w:rFonts w:ascii="Calibri" w:eastAsia="方正仿宋_GBK" w:cs="方正仿宋_GBK" w:hAnsi="Calibri"/>
          <w:bCs/>
          <w:sz w:val="32"/>
          <w:szCs w:val="32"/>
        </w:rPr>
        <w:t>0479-3444226</w:t>
      </w:r>
      <w:r>
        <w:rPr>
          <w:rFonts w:ascii="Calibri" w:eastAsia="方正仿宋_GBK" w:cs="方正仿宋_GBK" w:hAnsi="Calibri" w:hint="eastAsia"/>
          <w:bCs/>
          <w:sz w:val="32"/>
          <w:szCs w:val="32"/>
        </w:rPr>
        <w:t>或</w:t>
      </w:r>
      <w:r>
        <w:rPr>
          <w:rFonts w:ascii="Calibri" w:eastAsia="方正仿宋_GBK" w:cs="方正仿宋_GBK" w:hAnsi="Calibri"/>
          <w:bCs/>
          <w:sz w:val="32"/>
          <w:szCs w:val="32"/>
        </w:rPr>
        <w:t>0471-</w:t>
      </w:r>
      <w:r>
        <w:rPr>
          <w:rFonts w:ascii="Calibri" w:eastAsia="方正仿宋_GBK" w:cs="方正仿宋_GBK" w:hAnsi="Calibri" w:hint="eastAsia"/>
          <w:bCs/>
          <w:sz w:val="32"/>
          <w:szCs w:val="32"/>
        </w:rPr>
        <w:t>12360海</w:t>
      </w:r>
      <w:r>
        <w:rPr>
          <w:rFonts w:ascii="方正仿宋_GBK" w:eastAsia="方正仿宋_GBK" w:hint="eastAsia"/>
          <w:bCs/>
          <w:sz w:val="32"/>
          <w:szCs w:val="32"/>
        </w:rPr>
        <w:t>关服务热线。</w:t>
      </w:r>
      <w:bookmarkStart w:id="0" w:name="_GoBack"/>
      <w:bookmarkEnd w:id="0"/>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p>
    <w:p>
      <w:pPr>
        <w:spacing w:line="560" w:lineRule="exact"/>
        <w:ind w:firstLineChars="200" w:firstLine="640"/>
        <w:rPr>
          <w:rFonts w:ascii="方正黑体_GBK" w:eastAsia="方正黑体_GBK" w:hint="eastAsia"/>
          <w:bCs/>
          <w:sz w:val="32"/>
          <w:szCs w:val="32"/>
        </w:rPr>
      </w:pPr>
      <w:r>
        <w:rPr>
          <w:rFonts w:ascii="Calibri" w:eastAsia="方正仿宋_GBK" w:cs="方正仿宋_GBK" w:hAnsi="Calibri"/>
          <w:bCs/>
          <w:sz w:val="32"/>
          <w:szCs w:val="32"/>
        </w:rPr>
        <w:t>0471-6982669</w:t>
      </w:r>
      <w:r>
        <w:rPr>
          <w:rFonts w:ascii="Calibri" w:eastAsia="方正仿宋_GBK" w:cs="方正仿宋_GBK" w:hAnsi="Calibri" w:hint="eastAsia"/>
          <w:bCs/>
          <w:sz w:val="32"/>
          <w:szCs w:val="32"/>
        </w:rPr>
        <w:t>或</w:t>
      </w:r>
      <w:r>
        <w:rPr>
          <w:rFonts w:ascii="Calibri" w:eastAsia="方正仿宋_GBK" w:cs="方正仿宋_GBK" w:hAnsi="Calibri"/>
          <w:bCs/>
          <w:sz w:val="32"/>
          <w:szCs w:val="32"/>
        </w:rPr>
        <w:t>0471-</w:t>
      </w:r>
      <w:r>
        <w:rPr>
          <w:rFonts w:ascii="Calibri" w:eastAsia="方正仿宋_GBK" w:cs="方正仿宋_GBK" w:hAnsi="Calibri" w:hint="eastAsia"/>
          <w:bCs/>
          <w:sz w:val="32"/>
          <w:szCs w:val="32"/>
        </w:rPr>
        <w:t>12360</w:t>
      </w:r>
      <w:r>
        <w:rPr>
          <w:rFonts w:ascii="方正仿宋_GBK" w:eastAsia="方正仿宋_GBK" w:hint="eastAsia"/>
          <w:bCs/>
          <w:sz w:val="32"/>
          <w:szCs w:val="32"/>
        </w:rPr>
        <w:t>海关服务热线。</w:t>
      </w:r>
    </w:p>
    <w:sectPr>
      <w:pgSz w:w="11906" w:h="16838"/>
      <w:pgMar w:top="1701" w:right="1644" w:bottom="1418" w:left="1644" w:header="851" w:footer="992" w:gutter="0"/>
      <w:pgNumType w:fmt="decimalFullWidth"/>
      <w:docGrid w:type="linesAndChar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3"/>
    <w:basedOn w:val="0"/>
    <w:autoRedefine/>
    <w:next w:val="0"/>
    <w:pPr>
      <w:ind w:left="840"/>
    </w:pPr>
  </w:style>
  <w:style w:type="paragraph" w:styleId="16">
    <w:name w:val="toc 8"/>
    <w:basedOn w:val="0"/>
    <w:autoRedefine/>
    <w:next w:val="0"/>
    <w:pPr>
      <w:ind w:left="2940"/>
    </w:pPr>
  </w:style>
  <w:style w:type="paragraph" w:styleId="17">
    <w:name w:val="header"/>
    <w:basedOn w:val="0"/>
    <w:pPr>
      <w:pBdr>
        <w:bottom w:val="single" w:sz="6" w:space="1" w:color="auto"/>
      </w:pBdr>
      <w:tabs>
        <w:tab w:val="center" w:pos="4153"/>
        <w:tab w:val="right" w:pos="8307"/>
      </w:tabs>
      <w:snapToGrid w:val="0"/>
      <w:jc w:val="center"/>
    </w:pPr>
    <w:rPr>
      <w:sz w:val="18"/>
    </w:rPr>
  </w:style>
  <w:style w:type="paragraph" w:styleId="18">
    <w:name w:val="footer"/>
    <w:basedOn w:val="0"/>
    <w:pPr>
      <w:tabs>
        <w:tab w:val="center" w:pos="4153"/>
        <w:tab w:val="right" w:pos="8307"/>
      </w:tabs>
      <w:snapToGrid w:val="0"/>
      <w:jc w:val="left"/>
    </w:pPr>
    <w:rPr>
      <w:sz w:val="18"/>
    </w:rPr>
  </w:style>
  <w:style w:type="character" w:styleId="19">
    <w:name w:val="Hyperlink"/>
    <w:rPr>
      <w:rFonts w:ascii="Times New Roman" w:eastAsia="黑体" w:cs="Times New Roman" w:hAnsi="Times New Roman"/>
      <w:color w:val="0000FF"/>
      <w:u w:val="single"/>
      <w:lang w:bidi="ar-SA"/>
    </w:rPr>
  </w:style>
  <w:style w:type="paragraph" w:customStyle="1" w:styleId="20">
    <w:name w:val="列出段落1"/>
    <w:next w:val="15"/>
    <w:pPr>
      <w:widowControl w:val="0"/>
      <w:ind w:firstLineChars="200" w:firstLine="200"/>
      <w:jc w:val="both"/>
    </w:pPr>
    <w:rPr>
      <w:rFonts w:ascii="Calibri" w:eastAsia="黑体" w:cs="Times New Roman" w:hAnsi="Calibri"/>
      <w:kern w:val="2"/>
      <w:sz w:val="21"/>
      <w:szCs w:val="22"/>
      <w:lang w:val="en-US" w:eastAsia="zh-CN" w:bidi="ar-SA"/>
    </w:rPr>
  </w:style>
  <w:style w:type="paragraph" w:customStyle="1" w:styleId="21">
    <w:name w:val="样式 10 磅6"/>
    <w:next w:val="16"/>
    <w:pPr>
      <w:widowControl w:val="0"/>
      <w:jc w:val="both"/>
    </w:pPr>
    <w:rPr>
      <w:rFonts w:ascii="Times New Roman" w:eastAsia="宋体" w:cs="Times New Roman" w:hAnsi="Times New Roman"/>
      <w:kern w:val="2"/>
      <w:sz w:val="21"/>
      <w:szCs w:val="24"/>
      <w:lang w:val="en-US" w:eastAsia="zh-CN" w:bidi="ar-SA"/>
    </w:rPr>
  </w:style>
  <w:style w:type="paragraph" w:customStyle="1" w:styleId="22">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4">
    <w:name w:val="样式 30 10 磅"/>
    <w:next w:val="18"/>
    <w:pPr>
      <w:widowControl w:val="0"/>
      <w:ind w:firstLineChars="200" w:firstLine="200"/>
      <w:jc w:val="both"/>
    </w:pPr>
    <w:rPr>
      <w:rFonts w:ascii="Calibri" w:eastAsia="宋体" w:cs="Calibri" w:hAnsi="Calibri"/>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139</TotalTime>
  <Application>Yozo_Office</Application>
  <Pages>4</Pages>
  <Words>1146</Words>
  <Characters>1332</Characters>
  <Lines>74</Lines>
  <Paragraphs>52</Paragraphs>
  <CharactersWithSpaces>1339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乌日娜</cp:lastModifiedBy>
  <cp:revision>1</cp:revision>
  <dcterms:created xsi:type="dcterms:W3CDTF">2022-04-12T06:54:20Z</dcterms:created>
  <dcterms:modified xsi:type="dcterms:W3CDTF">2023-11-24T00:32:04Z</dcterms:modified>
</cp:coreProperties>
</file>