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7"/>
        <w:autoSpaceDN w:val="0"/>
        <w:spacing w:line="560" w:lineRule="exact"/>
        <w:ind w:firstLineChars="200" w:firstLine="720"/>
        <w:jc w:val="center"/>
        <w:rPr>
          <w:rFonts w:ascii="方正小标宋_GBK" w:eastAsia="方正小标宋_GBK"/>
          <w:color w:val="000000"/>
          <w:sz w:val="36"/>
          <w:szCs w:val="36"/>
        </w:rPr>
      </w:pPr>
    </w:p>
    <w:p>
      <w:pPr>
        <w:pStyle w:val="17"/>
        <w:autoSpaceDN w:val="0"/>
        <w:spacing w:line="560" w:lineRule="exact"/>
        <w:jc w:val="center"/>
        <w:rPr>
          <w:rFonts w:ascii="Times New Roman" w:eastAsia="方正小标宋_GBK" w:cs="Times New Roman" w:hAnsi="Times New Roman"/>
          <w:color w:val="000000"/>
          <w:sz w:val="36"/>
          <w:szCs w:val="36"/>
        </w:rPr>
      </w:pPr>
      <w:r>
        <w:rPr>
          <w:rFonts w:ascii="Times New Roman" w:eastAsia="方正小标宋_GBK" w:cs="Times New Roman" w:hAnsi="Times New Roman"/>
          <w:color w:val="000000"/>
          <w:sz w:val="36"/>
          <w:szCs w:val="36"/>
        </w:rPr>
        <w:t>2026年前</w:t>
      </w:r>
      <w:r>
        <w:rPr>
          <w:rFonts w:ascii="Times New Roman" w:eastAsia="方正小标宋_GBK" w:cs="Times New Roman" w:hAnsi="Times New Roman" w:hint="eastAsia"/>
          <w:color w:val="000000"/>
          <w:sz w:val="36"/>
          <w:szCs w:val="36"/>
        </w:rPr>
        <w:t>5</w:t>
      </w:r>
      <w:r>
        <w:rPr>
          <w:rFonts w:ascii="Times New Roman" w:eastAsia="方正小标宋_GBK" w:cs="Times New Roman" w:hAnsi="Times New Roman"/>
          <w:color w:val="000000"/>
          <w:sz w:val="36"/>
          <w:szCs w:val="36"/>
        </w:rPr>
        <w:t>个月湖北省进出口增长</w:t>
      </w:r>
      <w:r>
        <w:rPr>
          <w:rFonts w:ascii="Times New Roman" w:eastAsia="方正小标宋_GBK" w:cs="Times New Roman" w:hAnsi="Times New Roman" w:hint="eastAsia"/>
          <w:color w:val="000000"/>
          <w:sz w:val="36"/>
          <w:szCs w:val="36"/>
        </w:rPr>
        <w:t>6.2</w:t>
      </w:r>
      <w:r>
        <w:rPr>
          <w:rFonts w:ascii="Times New Roman" w:eastAsia="方正小标宋_GBK" w:cs="Times New Roman" w:hAnsi="Times New Roman"/>
          <w:color w:val="000000"/>
          <w:sz w:val="36"/>
          <w:szCs w:val="36"/>
        </w:rPr>
        <w:t>%</w:t>
      </w:r>
    </w:p>
    <w:p>
      <w:pPr>
        <w:pStyle w:val="17"/>
        <w:autoSpaceDN w:val="0"/>
        <w:spacing w:line="560" w:lineRule="exact"/>
        <w:jc w:val="center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pStyle w:val="17"/>
        <w:autoSpaceDN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据海关统计，今年前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5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个月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，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湖北省进出口总值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3474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亿元人民币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（下同）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，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增长（同比，下同）6.2%。5月份，进出口总值803.9亿元，增长19.6%。其中，出口528.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6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亿元，增长10.1%；进口275.3亿元，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增长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43.2%。</w:t>
      </w:r>
    </w:p>
    <w:p>
      <w:pPr>
        <w:pStyle w:val="17"/>
        <w:autoSpaceDN w:val="0"/>
        <w:spacing w:line="560" w:lineRule="exact"/>
        <w:ind w:firstLineChars="200" w:firstLine="640"/>
        <w:jc w:val="both"/>
        <w:rPr>
          <w:rFonts w:ascii="方正黑体_GBK" w:eastAsia="方正黑体_GBK" w:cs="Times New Roman"/>
          <w:color w:val="000000"/>
          <w:sz w:val="32"/>
          <w:szCs w:val="32"/>
        </w:rPr>
      </w:pPr>
      <w:r>
        <w:rPr>
          <w:rFonts w:ascii="方正黑体_GBK" w:eastAsia="方正黑体_GBK" w:cs="Times New Roman" w:hint="eastAsia"/>
          <w:color w:val="000000"/>
          <w:sz w:val="32"/>
          <w:szCs w:val="32"/>
        </w:rPr>
        <w:t>今年前</w:t>
      </w:r>
      <w:r>
        <w:rPr>
          <w:rFonts w:ascii="Times New Roman" w:eastAsia="方正黑体_GBK" w:cs="Times New Roman" w:hAnsi="Times New Roman" w:hint="eastAsia"/>
          <w:color w:val="000000"/>
          <w:sz w:val="32"/>
          <w:szCs w:val="32"/>
        </w:rPr>
        <w:t>5</w:t>
      </w:r>
      <w:r>
        <w:rPr>
          <w:rFonts w:ascii="方正黑体_GBK" w:eastAsia="方正黑体_GBK" w:cs="Times New Roman" w:hint="eastAsia"/>
          <w:color w:val="000000"/>
          <w:sz w:val="32"/>
          <w:szCs w:val="32"/>
        </w:rPr>
        <w:t>个月湖北省进出口主要特点：</w:t>
      </w:r>
    </w:p>
    <w:p>
      <w:pPr>
        <w:pStyle w:val="19"/>
        <w:autoSpaceDN w:val="0"/>
        <w:spacing w:line="560" w:lineRule="exact"/>
        <w:ind w:firstLineChars="196" w:firstLine="627"/>
        <w:rPr>
          <w:kern w:val="0"/>
          <w:szCs w:val="32"/>
          <w:lang w:val="zh-CN"/>
        </w:rPr>
      </w:pPr>
      <w:r>
        <w:rPr>
          <w:rFonts w:ascii="方正楷体_GBK" w:eastAsia="方正楷体_GBK" w:hint="eastAsia"/>
          <w:b/>
          <w:bCs/>
        </w:rPr>
        <w:t>民营企业进出口占比超</w:t>
      </w:r>
      <w:r>
        <w:rPr>
          <w:rFonts w:eastAsia="方正楷体_GBK" w:hint="eastAsia"/>
          <w:b/>
          <w:bCs/>
        </w:rPr>
        <w:t>六</w:t>
      </w:r>
      <w:r>
        <w:rPr>
          <w:rFonts w:ascii="方正楷体_GBK" w:eastAsia="方正楷体_GBK" w:hint="eastAsia"/>
          <w:b/>
          <w:bCs/>
        </w:rPr>
        <w:t>成。</w:t>
      </w:r>
      <w:r>
        <w:rPr>
          <w:rFonts w:hint="eastAsia"/>
          <w:kern w:val="0"/>
          <w:szCs w:val="32"/>
          <w:lang w:val="zh-CN"/>
        </w:rPr>
        <w:t>前5个月</w:t>
      </w:r>
      <w:r>
        <w:rPr>
          <w:kern w:val="0"/>
          <w:szCs w:val="32"/>
          <w:lang w:val="zh-CN"/>
        </w:rPr>
        <w:t>，</w:t>
      </w:r>
      <w:r>
        <w:rPr>
          <w:rFonts w:hint="eastAsia"/>
        </w:rPr>
        <w:t>湖北省有进出口实绩</w:t>
      </w:r>
      <w:r>
        <w:t>的</w:t>
      </w:r>
      <w:r>
        <w:rPr>
          <w:rFonts w:hint="eastAsia"/>
        </w:rPr>
        <w:t>外贸企业数量超9000家。其中，</w:t>
      </w:r>
      <w:r>
        <w:t>民营企业8628家，进出口2138亿元，占同期湖北省进出口总值的（下同）61.5%。</w:t>
      </w:r>
      <w:r>
        <w:rPr>
          <w:rFonts w:hint="eastAsia"/>
          <w:color w:val="000000"/>
          <w:szCs w:val="32"/>
          <w:lang w:val="zh-CN"/>
        </w:rPr>
        <w:t>国有企业</w:t>
      </w:r>
      <w:r>
        <w:rPr>
          <w:color w:val="000000"/>
          <w:szCs w:val="32"/>
          <w:lang w:val="zh-CN"/>
        </w:rPr>
        <w:t>、外商投资企业</w:t>
      </w:r>
      <w:r>
        <w:rPr>
          <w:rFonts w:hint="eastAsia"/>
          <w:color w:val="000000"/>
          <w:szCs w:val="32"/>
          <w:lang w:val="zh-CN"/>
        </w:rPr>
        <w:t>分别</w:t>
      </w:r>
      <w:r>
        <w:rPr>
          <w:kern w:val="0"/>
          <w:szCs w:val="32"/>
          <w:lang w:val="zh-CN"/>
        </w:rPr>
        <w:t>进出口</w:t>
      </w:r>
      <w:r>
        <w:rPr>
          <w:rFonts w:hint="eastAsia"/>
          <w:kern w:val="0"/>
          <w:szCs w:val="32"/>
          <w:lang w:val="zh-CN"/>
        </w:rPr>
        <w:t>732.5</w:t>
      </w:r>
      <w:r>
        <w:rPr>
          <w:kern w:val="0"/>
          <w:szCs w:val="32"/>
          <w:lang w:val="zh-CN"/>
        </w:rPr>
        <w:t>亿</w:t>
      </w:r>
      <w:r>
        <w:rPr>
          <w:rFonts w:hint="eastAsia"/>
          <w:kern w:val="0"/>
          <w:szCs w:val="32"/>
          <w:lang w:val="zh-CN"/>
        </w:rPr>
        <w:t>、601.7亿</w:t>
      </w:r>
      <w:r>
        <w:rPr>
          <w:kern w:val="0"/>
          <w:szCs w:val="32"/>
          <w:lang w:val="zh-CN"/>
        </w:rPr>
        <w:t>元，</w:t>
      </w:r>
      <w:r>
        <w:rPr>
          <w:rFonts w:hint="eastAsia"/>
          <w:kern w:val="0"/>
          <w:szCs w:val="32"/>
          <w:lang w:val="zh-CN"/>
        </w:rPr>
        <w:t>分别</w:t>
      </w:r>
      <w:r>
        <w:rPr>
          <w:kern w:val="0"/>
          <w:szCs w:val="32"/>
          <w:lang w:val="zh-CN"/>
        </w:rPr>
        <w:t>增长</w:t>
      </w:r>
      <w:r>
        <w:rPr>
          <w:rFonts w:hint="eastAsia"/>
          <w:kern w:val="0"/>
          <w:szCs w:val="32"/>
          <w:lang w:val="zh-CN"/>
        </w:rPr>
        <w:t>43.5</w:t>
      </w:r>
      <w:r>
        <w:rPr>
          <w:kern w:val="0"/>
          <w:szCs w:val="32"/>
          <w:lang w:val="zh-CN"/>
        </w:rPr>
        <w:t>%</w:t>
      </w:r>
      <w:r>
        <w:rPr>
          <w:rFonts w:hint="eastAsia"/>
          <w:kern w:val="0"/>
          <w:szCs w:val="32"/>
          <w:lang w:val="zh-CN"/>
        </w:rPr>
        <w:t>、34.4%</w:t>
      </w:r>
      <w:r>
        <w:rPr>
          <w:kern w:val="0"/>
          <w:szCs w:val="32"/>
          <w:lang w:val="zh-CN"/>
        </w:rPr>
        <w:t>。</w:t>
      </w:r>
      <w:r>
        <w:rPr>
          <w:rFonts w:hint="eastAsia"/>
          <w:b/>
          <w:bCs/>
          <w:kern w:val="0"/>
          <w:szCs w:val="32"/>
          <w:lang w:val="zh-CN"/>
        </w:rPr>
        <w:t>从企业类型看</w:t>
      </w:r>
      <w:r>
        <w:rPr>
          <w:rFonts w:hint="eastAsia"/>
          <w:kern w:val="0"/>
          <w:szCs w:val="32"/>
          <w:lang w:val="zh-CN"/>
        </w:rPr>
        <w:t>，实业根基不断夯实，</w:t>
      </w:r>
      <w:r>
        <w:rPr>
          <w:rFonts w:hint="eastAsia"/>
        </w:rPr>
        <w:t>生产型企业</w:t>
      </w:r>
      <w:r>
        <w:t>进出口增长</w:t>
      </w:r>
      <w:r>
        <w:rPr>
          <w:rFonts w:hint="eastAsia"/>
        </w:rPr>
        <w:t>32.3</w:t>
      </w:r>
      <w:r>
        <w:t>%，比重</w:t>
      </w:r>
      <w:r>
        <w:rPr>
          <w:rFonts w:hint="eastAsia"/>
        </w:rPr>
        <w:t>较去年同期提升11个百分点至55.6%</w:t>
      </w:r>
      <w:r>
        <w:t>。</w:t>
      </w:r>
    </w:p>
    <w:p>
      <w:pPr>
        <w:pStyle w:val="27"/>
        <w:autoSpaceDN w:val="0"/>
        <w:adjustRightInd w:val="0"/>
        <w:snapToGrid w:val="0"/>
        <w:spacing w:line="560" w:lineRule="exact"/>
        <w:ind w:firstLineChars="200" w:firstLine="640"/>
        <w:rPr>
          <w:rFonts w:eastAsia="方正仿宋_GBK"/>
          <w:color w:val="000000"/>
          <w:sz w:val="32"/>
          <w:szCs w:val="32"/>
        </w:rPr>
      </w:pPr>
      <w:r>
        <w:rPr>
          <w:rFonts w:ascii="方正楷体_GBK" w:eastAsia="方正楷体_GBK" w:hint="eastAsia"/>
          <w:b/>
          <w:bCs/>
          <w:sz w:val="32"/>
          <w:szCs w:val="2"/>
        </w:rPr>
        <w:t>东盟、欧盟、中国香港为前三大贸易伙伴。</w:t>
      </w:r>
      <w:r>
        <w:rPr>
          <w:rFonts w:eastAsia="方正仿宋_GBK" w:hint="eastAsia"/>
          <w:color w:val="000000"/>
          <w:sz w:val="32"/>
          <w:szCs w:val="32"/>
        </w:rPr>
        <w:t>前5个月，</w:t>
      </w:r>
      <w:r>
        <w:rPr>
          <w:rFonts w:eastAsia="方正仿宋_GBK"/>
          <w:color w:val="000000"/>
          <w:sz w:val="32"/>
          <w:szCs w:val="32"/>
        </w:rPr>
        <w:t>湖北省对</w:t>
      </w:r>
      <w:r>
        <w:rPr>
          <w:rFonts w:eastAsia="方正仿宋_GBK" w:hint="eastAsia"/>
          <w:color w:val="000000"/>
          <w:sz w:val="32"/>
          <w:szCs w:val="32"/>
        </w:rPr>
        <w:t>东</w:t>
      </w:r>
      <w:r>
        <w:rPr>
          <w:rFonts w:eastAsia="方正仿宋_GBK"/>
          <w:color w:val="000000"/>
          <w:sz w:val="32"/>
          <w:szCs w:val="32"/>
        </w:rPr>
        <w:t>盟、</w:t>
      </w:r>
      <w:r>
        <w:rPr>
          <w:rFonts w:eastAsia="方正仿宋_GBK" w:hint="eastAsia"/>
          <w:color w:val="000000"/>
          <w:sz w:val="32"/>
          <w:szCs w:val="32"/>
        </w:rPr>
        <w:t>欧盟、中国香港</w:t>
      </w:r>
      <w:r>
        <w:rPr>
          <w:rFonts w:eastAsia="方正仿宋_GBK"/>
          <w:color w:val="000000"/>
          <w:sz w:val="32"/>
          <w:szCs w:val="32"/>
        </w:rPr>
        <w:t>分别进出口</w:t>
      </w:r>
      <w:r>
        <w:rPr>
          <w:rFonts w:eastAsia="方正仿宋_GBK" w:hint="eastAsia"/>
          <w:color w:val="000000"/>
          <w:sz w:val="32"/>
          <w:szCs w:val="32"/>
        </w:rPr>
        <w:t>568.8</w:t>
      </w:r>
      <w:r>
        <w:rPr>
          <w:rFonts w:eastAsia="方正仿宋_GBK"/>
          <w:color w:val="000000"/>
          <w:sz w:val="32"/>
          <w:szCs w:val="32"/>
        </w:rPr>
        <w:t>亿、</w:t>
      </w:r>
      <w:r>
        <w:rPr>
          <w:rFonts w:eastAsia="方正仿宋_GBK" w:hint="eastAsia"/>
          <w:color w:val="000000"/>
          <w:sz w:val="32"/>
          <w:szCs w:val="32"/>
        </w:rPr>
        <w:t>550.1</w:t>
      </w:r>
      <w:r>
        <w:rPr>
          <w:rFonts w:eastAsia="方正仿宋_GBK"/>
          <w:color w:val="000000"/>
          <w:sz w:val="32"/>
          <w:szCs w:val="32"/>
        </w:rPr>
        <w:t>亿</w:t>
      </w:r>
      <w:r>
        <w:rPr>
          <w:rFonts w:eastAsia="方正仿宋_GBK" w:hint="eastAsia"/>
          <w:color w:val="000000"/>
          <w:sz w:val="32"/>
          <w:szCs w:val="32"/>
        </w:rPr>
        <w:t>、372.4亿</w:t>
      </w:r>
      <w:r>
        <w:rPr>
          <w:rFonts w:eastAsia="方正仿宋_GBK"/>
          <w:color w:val="000000"/>
          <w:sz w:val="32"/>
          <w:szCs w:val="32"/>
        </w:rPr>
        <w:t>元，分别</w:t>
      </w:r>
      <w:r>
        <w:rPr>
          <w:rFonts w:eastAsia="方正仿宋_GBK" w:hint="eastAsia"/>
          <w:color w:val="000000"/>
          <w:sz w:val="32"/>
          <w:szCs w:val="32"/>
        </w:rPr>
        <w:t>占16.4%、15.8%、10.7%。其中，对欧盟、中国香港分别增长35%、139.4%。</w:t>
      </w:r>
      <w:r>
        <w:rPr>
          <w:rFonts w:eastAsia="方正仿宋_GBK"/>
          <w:color w:val="000000"/>
          <w:sz w:val="32"/>
          <w:szCs w:val="32"/>
        </w:rPr>
        <w:t>此外</w:t>
      </w:r>
      <w:r>
        <w:rPr>
          <w:rFonts w:eastAsia="方正仿宋_GBK" w:hint="eastAsia"/>
          <w:color w:val="000000"/>
          <w:sz w:val="32"/>
          <w:szCs w:val="32"/>
        </w:rPr>
        <w:t>，</w:t>
      </w:r>
      <w:r>
        <w:rPr>
          <w:rFonts w:eastAsia="方正仿宋_GBK"/>
          <w:color w:val="000000"/>
          <w:sz w:val="32"/>
          <w:szCs w:val="32"/>
        </w:rPr>
        <w:t>对</w:t>
      </w:r>
      <w:r>
        <w:rPr>
          <w:rFonts w:eastAsia="方正仿宋_GBK" w:hint="eastAsia"/>
          <w:color w:val="000000"/>
          <w:sz w:val="32"/>
          <w:szCs w:val="32"/>
        </w:rPr>
        <w:t>韩国、巴西</w:t>
      </w:r>
      <w:r>
        <w:rPr>
          <w:rFonts w:eastAsia="方正仿宋_GBK"/>
          <w:color w:val="000000"/>
          <w:sz w:val="32"/>
          <w:szCs w:val="32"/>
        </w:rPr>
        <w:t>分别</w:t>
      </w:r>
      <w:r>
        <w:rPr>
          <w:rFonts w:eastAsia="方正仿宋_GBK" w:hint="eastAsia"/>
          <w:color w:val="000000"/>
          <w:sz w:val="32"/>
          <w:szCs w:val="32"/>
        </w:rPr>
        <w:t>进出口163亿、157亿元，分别</w:t>
      </w:r>
      <w:r>
        <w:rPr>
          <w:rFonts w:eastAsia="方正仿宋_GBK"/>
          <w:color w:val="000000"/>
          <w:sz w:val="32"/>
          <w:szCs w:val="32"/>
        </w:rPr>
        <w:t>增长</w:t>
      </w:r>
      <w:r>
        <w:rPr>
          <w:rFonts w:eastAsia="方正仿宋_GBK" w:hint="eastAsia"/>
          <w:color w:val="000000"/>
          <w:sz w:val="32"/>
          <w:szCs w:val="32"/>
        </w:rPr>
        <w:t>56.4%、33</w:t>
      </w:r>
      <w:r>
        <w:rPr>
          <w:rFonts w:eastAsia="方正仿宋_GBK"/>
          <w:color w:val="000000"/>
          <w:sz w:val="32"/>
          <w:szCs w:val="32"/>
        </w:rPr>
        <w:t>%。</w:t>
      </w:r>
    </w:p>
    <w:p>
      <w:pPr>
        <w:pStyle w:val="40"/>
        <w:autoSpaceDN w:val="0"/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</w:pPr>
      <w:r>
        <w:rPr>
          <w:rFonts w:ascii="Times New Roman" w:eastAsia="方正楷体_GBK" w:cs="Times New Roman" w:hAnsi="Times New Roman"/>
          <w:b/>
          <w:bCs/>
          <w:sz w:val="32"/>
          <w:szCs w:val="2"/>
        </w:rPr>
        <w:t>鄂州对进出口增长贡献突出</w:t>
      </w:r>
      <w:r>
        <w:rPr>
          <w:rFonts w:ascii="方正楷体_GBK" w:eastAsia="方正楷体_GBK" w:hint="eastAsia"/>
          <w:b/>
          <w:bCs/>
          <w:sz w:val="32"/>
          <w:szCs w:val="2"/>
        </w:rPr>
        <w:t>。</w:t>
      </w:r>
      <w:r>
        <w:rPr>
          <w:rFonts w:eastAsia="方正仿宋_GBK" w:hint="eastAsia"/>
          <w:color w:val="000000"/>
          <w:sz w:val="32"/>
          <w:szCs w:val="32"/>
        </w:rPr>
        <w:t>前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5</w:t>
      </w:r>
      <w:r>
        <w:rPr>
          <w:rFonts w:eastAsia="方正仿宋_GBK" w:hint="eastAsia"/>
          <w:color w:val="000000"/>
          <w:sz w:val="32"/>
          <w:szCs w:val="32"/>
        </w:rPr>
        <w:t>个月，武汉市进出口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2057.7</w:t>
      </w:r>
      <w:r>
        <w:rPr>
          <w:rFonts w:eastAsia="方正仿宋_GBK" w:hint="eastAsia"/>
          <w:color w:val="000000"/>
          <w:sz w:val="32"/>
          <w:szCs w:val="32"/>
        </w:rPr>
        <w:t>亿元，增长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16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%</w:t>
      </w:r>
      <w:r>
        <w:rPr>
          <w:rFonts w:eastAsia="方正仿宋_GBK" w:hint="eastAsia"/>
          <w:color w:val="000000"/>
          <w:sz w:val="32"/>
          <w:szCs w:val="32"/>
        </w:rPr>
        <w:t>，占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59.2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%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val="zh-CN"/>
        </w:rPr>
        <w:t>。</w:t>
      </w:r>
      <w:r>
        <w:rPr>
          <w:rFonts w:eastAsia="方正仿宋_GBK" w:hint="eastAsia"/>
          <w:color w:val="000000"/>
          <w:sz w:val="32"/>
          <w:szCs w:val="32"/>
        </w:rPr>
        <w:t>同期，</w:t>
      </w:r>
      <w:r>
        <w:rPr>
          <w:rFonts w:eastAsia="方正仿宋_GBK"/>
          <w:color w:val="000000"/>
          <w:sz w:val="32"/>
          <w:szCs w:val="32"/>
        </w:rPr>
        <w:t>黄石进出口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360.4</w:t>
      </w:r>
      <w:r>
        <w:rPr>
          <w:rFonts w:eastAsia="方正仿宋_GBK"/>
          <w:color w:val="000000"/>
          <w:sz w:val="32"/>
          <w:szCs w:val="32"/>
        </w:rPr>
        <w:t>亿元，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增长14.9%；鄂州进出口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201.6</w:t>
      </w:r>
      <w:r>
        <w:rPr>
          <w:rFonts w:eastAsia="方正仿宋_GBK" w:hint="eastAsia"/>
          <w:color w:val="000000"/>
          <w:sz w:val="32"/>
          <w:szCs w:val="32"/>
        </w:rPr>
        <w:t>亿元，</w:t>
      </w:r>
      <w:r>
        <w:rPr>
          <w:rFonts w:eastAsia="方正仿宋_GBK"/>
          <w:color w:val="000000"/>
          <w:sz w:val="32"/>
          <w:szCs w:val="32"/>
        </w:rPr>
        <w:t>进出口规模首次超过宜昌跃居全省各市州第三位，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增长88.2%，对湖北省进出口增长贡献率由去年同期的10.7%扩大至46.4%</w:t>
      </w:r>
      <w:r>
        <w:rPr>
          <w:rFonts w:eastAsia="方正仿宋_GBK"/>
          <w:sz w:val="32"/>
          <w:szCs w:val="32"/>
        </w:rPr>
        <w:t>。</w:t>
      </w:r>
      <w:r>
        <w:rPr>
          <w:rFonts w:ascii="Times New Roman" w:eastAsia="方正仿宋_GBK" w:cs="Times New Roman" w:hAnsi="Times New Roman"/>
          <w:bCs/>
          <w:kern w:val="2"/>
          <w:sz w:val="32"/>
          <w:szCs w:val="32"/>
          <w:lang w:eastAsia="zh-CN"/>
        </w:rPr>
        <w:t>5</w:t>
      </w:r>
      <w:r>
        <w:rPr>
          <w:rFonts w:eastAsia="方正仿宋_GBK"/>
          <w:bCs/>
          <w:kern w:val="2"/>
          <w:sz w:val="32"/>
          <w:szCs w:val="32"/>
          <w:lang w:eastAsia="zh-CN"/>
        </w:rPr>
        <w:t>月份，鄂州、黄石、仙桃增速迅猛，分别增长</w:t>
      </w:r>
      <w:r>
        <w:rPr>
          <w:rFonts w:ascii="Times New Roman" w:eastAsia="方正仿宋_GBK" w:cs="Times New Roman" w:hAnsi="Times New Roman"/>
          <w:bCs/>
          <w:kern w:val="2"/>
          <w:sz w:val="32"/>
          <w:szCs w:val="32"/>
          <w:lang w:eastAsia="zh-CN" w:bidi="ar-SA"/>
        </w:rPr>
        <w:t>306.9%</w:t>
      </w:r>
      <w:r>
        <w:rPr>
          <w:rFonts w:eastAsia="方正仿宋_GBK"/>
          <w:bCs/>
          <w:kern w:val="2"/>
          <w:sz w:val="32"/>
          <w:szCs w:val="32"/>
          <w:lang w:eastAsia="zh-CN"/>
        </w:rPr>
        <w:t>、</w:t>
      </w:r>
      <w:r>
        <w:rPr>
          <w:rFonts w:ascii="Times New Roman" w:eastAsia="方正仿宋_GBK" w:cs="Times New Roman" w:hAnsi="Times New Roman"/>
          <w:bCs/>
          <w:kern w:val="2"/>
          <w:sz w:val="32"/>
          <w:szCs w:val="32"/>
          <w:lang w:eastAsia="zh-CN" w:bidi="ar-SA"/>
        </w:rPr>
        <w:t>39.7%、38.9%</w:t>
      </w:r>
      <w:r>
        <w:rPr>
          <w:rFonts w:eastAsia="方正仿宋_GBK"/>
          <w:bCs/>
          <w:kern w:val="2"/>
          <w:sz w:val="32"/>
          <w:szCs w:val="32"/>
          <w:lang w:eastAsia="zh-CN"/>
        </w:rPr>
        <w:t>。</w:t>
      </w:r>
    </w:p>
    <w:p>
      <w:pPr>
        <w:pStyle w:val="28"/>
        <w:autoSpaceDN w:val="0"/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方正楷体_GBK" w:eastAsia="方正楷体_GBK" w:cs="Times New Roman" w:hint="eastAsia"/>
          <w:b/>
          <w:bCs/>
          <w:sz w:val="32"/>
          <w:szCs w:val="2"/>
        </w:rPr>
        <w:t>机电产品</w:t>
      </w:r>
      <w:r>
        <w:rPr>
          <w:rFonts w:ascii="方正楷体_GBK" w:eastAsia="方正楷体_GBK" w:cs="Times New Roman"/>
          <w:b/>
          <w:bCs/>
          <w:sz w:val="32"/>
          <w:szCs w:val="2"/>
        </w:rPr>
        <w:t>出口快速增长</w:t>
      </w:r>
      <w:r>
        <w:rPr>
          <w:rFonts w:ascii="方正楷体_GBK" w:eastAsia="方正楷体_GBK" w:cs="Times New Roman" w:hint="eastAsia"/>
          <w:b/>
          <w:bCs/>
          <w:sz w:val="32"/>
          <w:szCs w:val="2"/>
        </w:rPr>
        <w:t>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前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5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个月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，湖北省机电产品出口1487.9亿元，增长23.6%，占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同期</w:t>
      </w:r>
      <w:r>
        <w:rPr>
          <w:rFonts w:ascii="Times New Roman" w:eastAsia="方正仿宋_GBK" w:cs="Times New Roman" w:hAnsi="Times New Roman"/>
          <w:color w:val="000000"/>
          <w:sz w:val="32"/>
          <w:szCs w:val="32"/>
          <w:lang w:bidi="ar-SA"/>
        </w:rPr>
        <w:t>湖北省出口总值的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65.4%。其中，集成电路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、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汽车、锂电池分别出口347亿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、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132.2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亿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、127.1亿元，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分别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增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长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284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.3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%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、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76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%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、138.6%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。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受算力基础设施建设需求增加影响，光纤光缆、变压器分别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出口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26.3亿、6.7亿元，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分别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增长51.5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%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、60.2%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。此外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，工业机器人、3D打印机分别增长72.8%、36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%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。</w:t>
      </w:r>
    </w:p>
    <w:p>
      <w:pPr>
        <w:pStyle w:val="26"/>
        <w:autoSpaceDN w:val="0"/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方正楷体_GBK" w:eastAsia="方正楷体_GBK" w:cs="Times New Roman"/>
          <w:b/>
          <w:bCs/>
          <w:color w:val="000000"/>
          <w:sz w:val="32"/>
          <w:szCs w:val="32"/>
        </w:rPr>
        <w:t>进口消费水</w:t>
      </w:r>
      <w:bookmarkStart w:id="0" w:name="_GoBack"/>
      <w:bookmarkEnd w:id="0"/>
      <w:r>
        <w:rPr>
          <w:rFonts w:ascii="方正楷体_GBK" w:eastAsia="方正楷体_GBK" w:cs="Times New Roman"/>
          <w:b/>
          <w:bCs/>
          <w:color w:val="000000"/>
          <w:sz w:val="32"/>
          <w:szCs w:val="32"/>
        </w:rPr>
        <w:t>平持续增长</w:t>
      </w:r>
      <w:r>
        <w:rPr>
          <w:rFonts w:ascii="方正楷体_GBK" w:eastAsia="方正楷体_GBK" w:hint="eastAsia"/>
          <w:b/>
          <w:bCs/>
          <w:sz w:val="32"/>
          <w:szCs w:val="2"/>
        </w:rPr>
        <w:t>。</w:t>
      </w:r>
      <w:r>
        <w:rPr>
          <w:rFonts w:ascii="方正仿宋_GBK" w:eastAsia="方正仿宋_GBK" w:hint="eastAsia"/>
          <w:sz w:val="32"/>
          <w:szCs w:val="2"/>
        </w:rPr>
        <w:t>前</w:t>
      </w:r>
      <w:r>
        <w:rPr>
          <w:rFonts w:ascii="Times New Roman" w:eastAsia="方正仿宋_GBK" w:cs="Times New Roman" w:hAnsi="Times New Roman" w:hint="eastAsia"/>
          <w:sz w:val="32"/>
          <w:szCs w:val="2"/>
        </w:rPr>
        <w:t>5</w:t>
      </w:r>
      <w:r>
        <w:rPr>
          <w:rFonts w:ascii="方正仿宋_GBK" w:eastAsia="方正仿宋_GBK" w:hint="eastAsia"/>
          <w:sz w:val="32"/>
          <w:szCs w:val="2"/>
        </w:rPr>
        <w:t>个月，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大宗商品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进口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2414.8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万吨，增加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38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%；价值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383.1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亿元，增长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25.8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%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。</w:t>
      </w:r>
      <w:r>
        <w:rPr>
          <w:rFonts w:ascii="方正仿宋_GBK" w:eastAsia="方正仿宋_GBK" w:hint="eastAsia"/>
          <w:kern w:val="0"/>
          <w:sz w:val="32"/>
          <w:szCs w:val="32"/>
        </w:rPr>
        <w:t>其中，铜矿砂、铁矿砂、煤炭进口值分别增长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</w:rPr>
        <w:t>13.1</w:t>
      </w:r>
      <w:r>
        <w:rPr>
          <w:rFonts w:ascii="Times New Roman" w:eastAsia="方正仿宋_GBK" w:cs="Times New Roman" w:hAnsi="Times New Roman"/>
          <w:kern w:val="0"/>
          <w:sz w:val="32"/>
          <w:szCs w:val="32"/>
        </w:rPr>
        <w:t>%</w:t>
      </w:r>
      <w:r>
        <w:rPr>
          <w:rFonts w:ascii="方正仿宋_GBK" w:eastAsia="方正仿宋_GBK" w:hint="eastAsia"/>
          <w:kern w:val="0"/>
          <w:sz w:val="32"/>
          <w:szCs w:val="32"/>
        </w:rPr>
        <w:t>、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</w:rPr>
        <w:t>31.2</w:t>
      </w:r>
      <w:r>
        <w:rPr>
          <w:rFonts w:ascii="Times New Roman" w:eastAsia="方正仿宋_GBK" w:cs="Times New Roman" w:hAnsi="Times New Roman"/>
          <w:kern w:val="0"/>
          <w:sz w:val="32"/>
          <w:szCs w:val="32"/>
        </w:rPr>
        <w:t>%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</w:rPr>
        <w:t>、38</w:t>
      </w:r>
      <w:r>
        <w:rPr>
          <w:rFonts w:ascii="Times New Roman" w:eastAsia="方正仿宋_GBK" w:cs="Times New Roman" w:hAnsi="Times New Roman"/>
          <w:kern w:val="0"/>
          <w:sz w:val="32"/>
          <w:szCs w:val="32"/>
        </w:rPr>
        <w:t>%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。</w:t>
      </w:r>
      <w:r>
        <w:rPr>
          <w:rFonts w:eastAsia="方正仿宋_GBK" w:cs="Times New Roman"/>
          <w:sz w:val="32"/>
          <w:szCs w:val="32"/>
        </w:rPr>
        <w:t>此外，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进口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消费品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124.4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亿元，增长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53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%。其中，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牛肉、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化妆品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分别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进口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62.2亿、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15.5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亿元，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分别增长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89.3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%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、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93.6</w:t>
      </w:r>
      <w:r>
        <w:rPr>
          <w:rFonts w:ascii="Times New Roman" w:eastAsia="方正仿宋_GBK" w:cs="Times New Roman" w:hAnsi="Times New Roman" w:hint="eastAsia"/>
          <w:bCs/>
          <w:sz w:val="32"/>
          <w:szCs w:val="32"/>
        </w:rPr>
        <w:t>%</w:t>
      </w:r>
      <w:r>
        <w:rPr>
          <w:rFonts w:ascii="Times New Roman" w:eastAsia="方正仿宋_GBK" w:cs="Times New Roman" w:hAnsi="Times New Roman"/>
          <w:bCs/>
          <w:sz w:val="32"/>
          <w:szCs w:val="32"/>
        </w:rPr>
        <w:t>。</w:t>
      </w:r>
    </w:p>
    <w:p>
      <w:pPr>
        <w:pStyle w:val="27"/>
        <w:spacing w:line="560" w:lineRule="exact"/>
        <w:ind w:firstLineChars="200" w:firstLine="640"/>
        <w:rPr>
          <w:rFonts w:eastAsia="方正仿宋_GBK"/>
          <w:color w:val="000000"/>
          <w:sz w:val="32"/>
          <w:szCs w:val="32"/>
        </w:rPr>
      </w:pPr>
    </w:p>
    <w:p>
      <w:pPr>
        <w:pStyle w:val="27"/>
        <w:spacing w:line="560" w:lineRule="exact"/>
        <w:ind w:firstLineChars="200" w:firstLine="640"/>
        <w:rPr>
          <w:rFonts w:ascii="方正仿宋_GBK" w:eastAsia="方正仿宋_GBK"/>
          <w:color w:val="000000"/>
          <w:sz w:val="32"/>
          <w:szCs w:val="32"/>
        </w:rPr>
      </w:pPr>
    </w:p>
    <w:p>
      <w:pPr>
        <w:pStyle w:val="27"/>
        <w:spacing w:line="560" w:lineRule="exact"/>
        <w:ind w:firstLineChars="200" w:firstLine="640"/>
        <w:rPr>
          <w:rFonts w:ascii="方正仿宋_GBK" w:eastAsia="方正仿宋_GBK"/>
          <w:color w:val="000000"/>
          <w:sz w:val="32"/>
          <w:szCs w:val="32"/>
        </w:rPr>
      </w:pPr>
    </w:p>
    <w:p>
      <w:pPr>
        <w:pStyle w:val="17"/>
        <w:autoSpaceDN w:val="0"/>
        <w:adjustRightInd w:val="0"/>
        <w:spacing w:line="560" w:lineRule="exact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Calibri" w:cs="Arial" w:hAnsi="Calibri"/>
      <w:sz w:val="18"/>
      <w:szCs w:val="18"/>
    </w:rPr>
  </w:style>
  <w:style w:type="paragraph" w:styleId="16">
    <w:name w:val="footer"/>
    <w:basedOn w:val="0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Calibri" w:cs="Arial" w:hAnsi="Calibri"/>
      <w:sz w:val="18"/>
      <w:szCs w:val="18"/>
    </w:rPr>
  </w:style>
  <w:style w:type="paragraph" w:customStyle="1" w:styleId="17">
    <w:name w:val="样式 小四"/>
    <w:pPr>
      <w:widowControl w:val="0"/>
    </w:pPr>
    <w:rPr>
      <w:rFonts w:ascii="宋体" w:eastAsia="宋体" w:cs="宋体"/>
      <w:kern w:val="2"/>
      <w:sz w:val="24"/>
      <w:szCs w:val="21"/>
      <w:lang w:val="en-US" w:eastAsia="zh-CN" w:bidi="ar-SA"/>
    </w:rPr>
  </w:style>
  <w:style w:type="paragraph" w:styleId="18">
    <w:name w:val="Balloon Text"/>
    <w:basedOn w:val="0"/>
    <w:rPr>
      <w:sz w:val="18"/>
      <w:szCs w:val="18"/>
    </w:rPr>
  </w:style>
  <w:style w:type="paragraph" w:customStyle="1" w:styleId="19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">
    <w:name w:val="样式 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1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">
    <w:name w:val="样式 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3">
    <w:name w:val="样式 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4">
    <w:name w:val="样式 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5">
    <w:name w:val="样式 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6">
    <w:name w:val="样式 2 10 磅"/>
    <w:next w:val="3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8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">
    <w:name w:val="样式 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31">
    <w:name w:val="index 5"/>
    <w:basedOn w:val="0"/>
    <w:autoRedefine/>
    <w:next w:val="0"/>
    <w:pPr>
      <w:ind w:leftChars="800" w:left="800"/>
    </w:pPr>
  </w:style>
  <w:style w:type="paragraph" w:styleId="32">
    <w:name w:val="toc 9"/>
    <w:basedOn w:val="0"/>
    <w:autoRedefine/>
    <w:next w:val="0"/>
    <w:pPr>
      <w:ind w:left="3360"/>
    </w:pPr>
  </w:style>
  <w:style w:type="paragraph" w:customStyle="1" w:styleId="33">
    <w:name w:val="样式 26 10 磅"/>
    <w:next w:val="20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4">
    <w:name w:val="样式 14 10 磅"/>
    <w:next w:val="32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5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6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7">
    <w:name w:val="样式 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">
    <w:name w:val="样式 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8047</TotalTime>
  <Application>Yozo_Office</Application>
  <Pages>2</Pages>
  <Words>769</Words>
  <Characters>1032</Characters>
  <Lines>41</Lines>
  <Paragraphs>8</Paragraphs>
  <CharactersWithSpaces>1032</CharactersWithSpaces>
  <Company>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陈敏骅</dc:creator>
  <cp:lastModifiedBy>陈超</cp:lastModifiedBy>
  <cp:revision>50</cp:revision>
  <cp:lastPrinted>2026-06-11T03:30:26Z</cp:lastPrinted>
  <dcterms:created xsi:type="dcterms:W3CDTF">2026-05-06T03:36:00Z</dcterms:created>
  <dcterms:modified xsi:type="dcterms:W3CDTF">2026-06-22T08:47:09Z</dcterms:modified>
</cp:coreProperties>
</file>