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utoSpaceDN w:val="0"/>
        <w:adjustRightInd w:val="0"/>
        <w:snapToGrid w:val="0"/>
        <w:spacing w:line="560" w:lineRule="exact"/>
        <w:ind w:firstLine="420"/>
        <w:jc w:val="center"/>
        <w:rPr>
          <w:rFonts w:ascii="方正小标宋_GBK" w:eastAsia="方正小标宋_GBK" w:cs="Times New Roman"/>
          <w:sz w:val="44"/>
          <w:szCs w:val="44"/>
        </w:rPr>
      </w:pPr>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202606</w:t>
      </w:r>
      <w:r>
        <w:rPr>
          <w:rFonts w:ascii="方正楷体_GBK" w:eastAsia="方正楷体_GBK" w:cs="方正楷体_GBK" w:hint="eastAsia"/>
          <w:sz w:val="32"/>
          <w:szCs w:val="32"/>
        </w:rPr>
        <w:t>期总第</w:t>
      </w:r>
      <w:r>
        <w:rPr>
          <w:rFonts w:ascii="方正楷体_GBK" w:eastAsia="方正楷体_GBK" w:cs="方正楷体_GBK"/>
          <w:sz w:val="32"/>
          <w:szCs w:val="32"/>
        </w:rPr>
        <w:t>73</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698"/>
        </w:trPr>
        <w:tc>
          <w:tcPr>
            <w:tcW w:w="1382" w:type="dxa"/>
            <w:vMerge w:val="restart"/>
            <w:vAlign w:val="center"/>
          </w:tcPr>
          <w:p>
            <w:pPr>
              <w:pStyle w:val="239"/>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sz w:val="22"/>
              </w:rPr>
              <w:t>取消对装有“稳定支架”的火器的分类计分标准。美国烟酒枪炮及爆炸物管理局（简称“ATF”）提议修订司法部（简称“司法部”）关于装有稳定支架的火器的法规。多家法院认定，ATF就同一主题发布的2023年最终规则（通报号为G/TBT/N/USA/1739/Add.1）中的修订内容违反了《行政程序法》。已有数家法院对该最终规则发出了禁令、暂停执行或予以撤销，该规则实际生效的时间极少。因此，ATF提议从“步枪”的监管定义中删除2023年最终规则所增加的两段内容，这两段定义了“设计或重新设计、制造或重新制造并打算从肩部发射”这一术语。</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int="eastAsia"/>
                <w:sz w:val="22"/>
              </w:rPr>
            </w:pPr>
            <w:r>
              <w:rPr>
                <w:rFonts w:ascii="宋体" w:cs="宋体"/>
                <w:sz w:val="22"/>
              </w:rPr>
              <w:t>美国油桃等级标准。美国农业部农业营销服务局（AMS）提议修订美国油桃等级标准。AMS建议在对油桃进行分级时去除“斑点”这一缺陷，因为斑点严格来说是一个外观问题，不会影响受影响油桃的内部质量、保质期或导致任何负面风味。事实上，含糖量或甜度较高的油桃与斑点量增加有关。这些变化将使等级标准与当今市场上的质量水平保持一致，并为该商品的有效利用提供指导。</w:t>
            </w:r>
          </w:p>
        </w:tc>
      </w:tr>
      <w:tr>
        <w:trPr>
          <w:trHeight w:val="95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int="eastAsia"/>
                <w:sz w:val="22"/>
              </w:rPr>
            </w:pPr>
            <w:r>
              <w:rPr>
                <w:rFonts w:ascii="宋体" w:cs="宋体"/>
                <w:sz w:val="22"/>
              </w:rPr>
              <w:t>要求提供关于伪造认证标志的信息。美国消费品安全委员会就以下事项征求公众意见：假冒认证标志（特别是CPSC标志）的错误标注或未经授权使用所带来的普遍性及安全风险、消费者对这些标志作为安全标识的依赖程度，以及对相关利益方造成的财务影响。</w:t>
            </w:r>
          </w:p>
        </w:tc>
      </w:tr>
      <w:tr>
        <w:trPr>
          <w:trHeight w:val="66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int="eastAsia"/>
                <w:sz w:val="22"/>
              </w:rPr>
            </w:pPr>
            <w:r>
              <w:rPr>
                <w:rFonts w:ascii="宋体" w:cs="宋体"/>
                <w:sz w:val="22"/>
              </w:rPr>
              <w:t>进口训练弹。美国烟酒枪炮及爆炸物管理局提议修订司法部的法规，以明确某些训练弹不符合《枪支管制法》所定义的“弹药”定义，且不受《武器出口管制法》的管制。低于致命性弹药与训练弹不同，通常仍将被视为弹药。</w:t>
            </w:r>
          </w:p>
        </w:tc>
      </w:tr>
      <w:tr>
        <w:trPr>
          <w:trHeight w:val="1386"/>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int="eastAsia"/>
                <w:sz w:val="22"/>
              </w:rPr>
            </w:pPr>
            <w:r>
              <w:rPr>
                <w:rFonts w:ascii="宋体" w:cs="宋体"/>
                <w:sz w:val="22"/>
              </w:rPr>
              <w:t>进口两用枪身、枪座或枪管。美国烟酒枪炮及爆炸物管理局提议修订司法部法规，以明确：联邦枪械许可证（FFL）持有者可以合法进口可能同时用于运动型和非运动型枪械的枪身、枪座或枪管（即“两用枪身、枪座或枪管”），前提是在进口时，该枪身、枪座或枪管已有明确的枪械运动型配置。此外，一旦该两用枪身、枪座或枪管进入美国境内，可用于组装运动型、非运动型或《国家枪械法》规定的枪械，但组装此类枪械必须符合其他联邦枪械法律的要求。</w:t>
            </w:r>
          </w:p>
        </w:tc>
      </w:tr>
      <w:tr>
        <w:trPr>
          <w:trHeight w:val="186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sz w:val="22"/>
              </w:rPr>
            </w:pPr>
            <w:r>
              <w:rPr>
                <w:rFonts w:ascii="宋体" w:cs="宋体"/>
                <w:sz w:val="22"/>
              </w:rPr>
              <w:t>将国防物品的临时进口转为永久进口。美国烟酒枪炮及爆炸物管理局（ATF）提议修订司法部关于《武器出口管制法》（AECA）长期进口条款的法规。该拟议规则将允许进口商申请ATF授权，将在以下情况下临时进口的物品转换为长期进口品：依据国务院（DOS）的授权，或依据商务部（DOC）维持的《出口管理条例》（EAR）中关于临时进口的入境通关要求。转换时需符合其他适用的联邦枪支法律，无需先将物品出口再重新进口。与此相关，ATF还提议修订法规，要求从临时进口转换为长期进口的枪支，在转换获批后15天内按照《枪支管制法》（GCA）和《国家枪支法》（NFA）的标准进行标记。此外，进口商需在此时间框架内提交6A表格，以记录序列号并最终确定长期进口状态。</w:t>
            </w:r>
          </w:p>
        </w:tc>
      </w:tr>
      <w:tr>
        <w:trPr>
          <w:trHeight w:val="916"/>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sz w:val="22"/>
              </w:rPr>
            </w:pPr>
            <w:r>
              <w:rPr>
                <w:rFonts w:ascii="宋体" w:cs="宋体"/>
                <w:sz w:val="22"/>
              </w:rPr>
              <w:t>促进电信认证机构、测量设施及设备授权计划的诚信与安全。联邦通信委员会发布第二份进一步拟议规则制定通知，提议停止承认位于非互认协议或贸易协定参与方（即非互认地区）的测试实验室、测试认证机构及实验室认可机构。此外，委员会还就提升数据分析能力现代化征求意见，并探讨保护知识产权和国家安全的额外措施。</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可访问的紧急信息，以及紧急信息和视频描述的设备要求：2010年21世纪通信和视频可访问性法案的实施。在本文件中，联邦通信委员会提议修订Audible Crawl规则，该规则要求视频节目提供商和发行商使非新闻广播节目期间提供的非文本视觉紧急信息可通过辅助音频流访问。修订后的规则将规定，如果文本抓取提供与非文本视觉紧急信息重复或等效的紧急信息，只要文本抓取也是通过听觉传达的，则满足可访问性要求。</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加州拟议的替换轮胎能效计划。加州能源委员会提议在《加州法规汇编》第20篇第14章第1条（第3301节至第3310节）中通过《替换轮胎能效计划规则制定》，以根据《公共资源法典》第25770、25771、25772和25773条实施替换轮胎能效计划。加州能源委员会提议制定新法规，以提高乘用车和轻型卡车替换轮胎的能效。拟议法规为在加州销售的替换轮胎设定了能效和湿滑抓地力的最低性能标准。该法规还将规定轮胎制造商和品牌所有者的报告要求，只有列入加州能源委员会数据库的轮胎才能在加州合法销售。拟议的正式条款包括加州能源委员会工作人员在规则制定前的利益相关方参与期间收到的有关拟议法规的意见、反对意见和建议的考量。</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修订《升降机安全令》。加州职业安全与健康标准委员会旨在降低电梯工人工伤的可能性，并降低公众的风险。此次修订通过确保电梯工人和检查员能够轻松安全地接触到运输装置的关键部件，从而提高了工作场所的安全性。易于安全使用的设备更有可能得到充分维护，这有利于建筑物所有者和管理者以及骑行公众。这一规则制定行动还包括非实质性修订，如编辑、语法和重新格式化更改。已经安排了一次公开听证会，届时任何相关方都可以就这一拟议的监管行动提交口头或书面陈述。</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Ansi="宋体" w:hint="eastAsia"/>
                <w:sz w:val="22"/>
              </w:rPr>
            </w:pPr>
            <w:r>
              <w:rPr>
                <w:rFonts w:ascii="宋体" w:cs="宋体"/>
                <w:sz w:val="22"/>
              </w:rPr>
              <w:t>《Tier 4标准污染物排放标准修订，第1部分：轻型与中型汽车分阶段实施时间表的修正案》。美国环境保护署（EPA）正在重新考虑在名为《2027年及以后车型年轻型与中型汽车多污染物排放标准》的最终规则中颁布的新机动车辆Tier 4标准污染物排放标准。本次重新审议将通过两项独立但相互协调的规则制定活动进行。在这项第一部分规则制定中，EPA提议修订部分车辆的Tier 4标准污染物排放标准的分阶段实施时间表，以应对变化的情况和可行性方面的关切。这些修正案如果最终确定，将把部分车辆的Tier 3标准延长至2027和2028车型年，从而使这些车辆的Tier 4标准从2029车型年开始分阶段实施。EPA还提议对用于认证排放性能评估的测试协议以及其他相关监管问题进行其他修改。</w:t>
            </w:r>
          </w:p>
        </w:tc>
      </w:tr>
      <w:tr>
        <w:trPr>
          <w:trHeight w:val="94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sz w:val="22"/>
              </w:rPr>
            </w:pPr>
            <w:r>
              <w:rPr>
                <w:rFonts w:ascii="宋体" w:cs="宋体"/>
                <w:sz w:val="22"/>
              </w:rPr>
              <w:t>使NRC副产品材料使用法规现代化。美国核管理委员会（NRC）提议修订其副产品材料、一些源材料和一些特殊核材料的许可条例。NRC修订这些法规的目标是使许可材料的安全、有效和高效使用现代化。这一行动将减轻NRC许可程序的负担，消除对现有法规的某些豁免的需要，并消除不必要的要求。NRC正在寻求就该拟议规则和临时指南草案举行公开评议。</w:t>
            </w:r>
          </w:p>
        </w:tc>
      </w:tr>
      <w:tr>
        <w:trPr>
          <w:trHeight w:val="123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sz w:val="22"/>
              </w:rPr>
            </w:pPr>
            <w:r>
              <w:rPr>
                <w:rFonts w:ascii="宋体" w:cs="宋体"/>
                <w:sz w:val="22"/>
              </w:rPr>
              <w:t>农药处理的种子。农药监管部</w:t>
            </w:r>
            <w:bookmarkStart w:id="0" w:name="_GoBack"/>
            <w:bookmarkEnd w:id="0"/>
            <w:r>
              <w:rPr>
                <w:rFonts w:ascii="宋体" w:cs="宋体"/>
                <w:sz w:val="22"/>
              </w:rPr>
              <w:t>提议采用第6626.5节，并修订《加州法规》（3 CCR）第3篇第6000、6147、6691和6760节。受该提案影响的农药监管计划活动是那些与加州农药处理种子的处理以及其使用的报告和执行有关的活动。总之，拟议的管制行动将增加经农药处理的种子的定义；当经过杀虫剂处理的种子满足加州特有的某些条件时，免除它们的注册；要求报告在加州种植的经过杀虫剂处理的种子；并在满足某些条件时，对种植经过农药处理的种子提供监管要求的豁免。</w:t>
            </w:r>
          </w:p>
        </w:tc>
      </w:tr>
      <w:tr>
        <w:trPr>
          <w:trHeight w:val="92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sz w:val="22"/>
              </w:rPr>
            </w:pPr>
            <w:r>
              <w:rPr>
                <w:rFonts w:ascii="宋体" w:cs="宋体"/>
                <w:sz w:val="22"/>
              </w:rPr>
              <w:t>航天局就GSO参考链接寻求评议。在本文件中，联邦通信委员会内的航天局就卫星宽带频谱共享现代化报告和命令中采用的一组地球静止卫星网络参考链路的潜在修订寻求评议。确保GSO参考链路适当反映美国典型和广泛的GSO卫星运行将促进当今宽带卫星系统之间的高效频谱共享。</w:t>
            </w:r>
          </w:p>
        </w:tc>
      </w:tr>
      <w:tr>
        <w:trPr>
          <w:trHeight w:val="92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Ansi="宋体" w:hint="eastAsia"/>
                <w:sz w:val="22"/>
              </w:rPr>
            </w:pPr>
            <w:r>
              <w:rPr>
                <w:rFonts w:ascii="宋体" w:cs="宋体"/>
                <w:sz w:val="22"/>
              </w:rPr>
              <w:t>泡沫灭火系统。海岸警卫队必须批准船用泡沫灭火系统。目前，八个指导文件规定了现有的型式批准标准。海岸警卫队提议更新和编纂型式认证标准，以反映当前的行业实践。标准更新将反映技术进步，减少某些测试和设计要求，并减轻行业和政府的行政负担。这种放松管制的措施将为行业和政府节省成本。</w:t>
            </w:r>
          </w:p>
        </w:tc>
      </w:tr>
      <w:tr>
        <w:trPr>
          <w:trHeight w:val="1237"/>
        </w:trPr>
        <w:tc>
          <w:tcPr>
            <w:tcW w:w="1382" w:type="dxa"/>
            <w:vMerge w:val="restart"/>
            <w:tcBorders>
              <w:tl2br w:val="nil"/>
              <w:tr2bl w:val="nil"/>
            </w:tcBorders>
            <w:vAlign w:val="center"/>
          </w:tcPr>
          <w:p>
            <w:pPr>
              <w:pStyle w:val="241"/>
              <w:jc w:val="center"/>
            </w:pPr>
            <w: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Ansi="宋体" w:hint="eastAsia"/>
                <w:sz w:val="22"/>
              </w:rPr>
            </w:pPr>
            <w:r>
              <w:rPr>
                <w:rFonts w:ascii="宋体" w:cs="宋体"/>
                <w:sz w:val="22"/>
              </w:rPr>
              <w:t>埃及“固定训练设备第6部分：跑步机，附加特定安全要求和试验方法”标准草案。该标准草案除规定了一般的安全要求和试验方法外，还规定了跑步机的安全要求和试验方法。本标准草案涉及与按预期使用并在制造商可预见的误用条件下使用的固定式训练设备相关的重大危害、危险情况和事件（见第4条）。适用于S、H、I级和A、B、C级精度的动力驱动和非动力/手动驱动的训练设备类型跑步机（以下简称跑步机）。</w:t>
            </w:r>
          </w:p>
        </w:tc>
      </w:tr>
      <w:tr>
        <w:trPr>
          <w:trHeight w:val="104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Ansi="宋体" w:hint="eastAsia"/>
                <w:sz w:val="22"/>
              </w:rPr>
            </w:pPr>
            <w:r>
              <w:rPr>
                <w:rFonts w:ascii="宋体" w:cs="宋体"/>
                <w:sz w:val="22"/>
              </w:rPr>
              <w:t>埃及“固定式训练设备第2部分：力量训练设备附加特定安全要求和试验方法”标准草案。除了一般安全要求之外，埃及标准草案还规定了固定式力量训练设备的安全要求。本标准适用于H级、S级和I级具有堆叠重量阻力或替代阻力方式的固定式力量训练设备，如弹性绳、液压、气动、电动、磁力、弹簧和外部加载重量（以下简称固定式训练设备）。</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sz w:val="22"/>
              </w:rPr>
              <w:t>固定式训练设备第1部分：一般安全要求和试验方法”埃及标准草案。该标准草案规定了室内固定训练设备的一般安全要求和测试方法。它还包括环境方面。本标准适用于所有固定式训练设备。这包括用于体育协会、教育机构、酒店、体育馆、俱乐部、康复中心和工作室（S级和I级）等组织的训练区域的设备，其访问和控制由所有者（负有法律责任的人）具体规定）、家用设备（H级）和其他类型的设备，包括电机驱动设备。</w:t>
            </w:r>
          </w:p>
        </w:tc>
      </w:tr>
      <w:tr>
        <w:trPr>
          <w:trHeight w:val="1237"/>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埃及标准草案《小型船艇船体构造与构件尺寸第5部分：单体船设计压力、设计应力及构件尺寸确定》。该标准草案规定了艇体长度（LH）或载重线长度（见注1）不超过24米的单体小型船艇在确定构件尺寸时所使用的尺寸、局部设计压力、机械性能及设计应力。在根据ISO 12217标准评估稳性、干舷和浮力时，该标准考虑了船艇中被视为水密或风雨密的所有部分。</w:t>
            </w:r>
          </w:p>
        </w:tc>
      </w:tr>
      <w:tr>
        <w:trPr>
          <w:trHeight w:val="58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Ansi="宋体" w:hint="eastAsia"/>
                <w:sz w:val="22"/>
              </w:rPr>
            </w:pPr>
            <w:r>
              <w:rPr>
                <w:rFonts w:ascii="宋体" w:cs="宋体"/>
                <w:sz w:val="22"/>
              </w:rPr>
              <w:t>埃及标准草案《小型船艇船体构造与构件尺寸第4部分：车间与制造》。该埃及标准草案规定了车间条件、材料储存与搬运以及船艇制造的要求。它适用于艇体长度（LH）根据ISO 8666不超过24米的小型船艇。该标准不涉及健康与安全要求。</w:t>
            </w:r>
          </w:p>
        </w:tc>
      </w:tr>
      <w:tr>
        <w:trPr>
          <w:trHeight w:val="123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Ansi="宋体" w:hint="eastAsia"/>
                <w:sz w:val="22"/>
              </w:rPr>
            </w:pPr>
            <w:r>
              <w:rPr>
                <w:rFonts w:ascii="宋体" w:cs="宋体"/>
                <w:sz w:val="22"/>
              </w:rPr>
              <w:t>埃及标准草案《小型船艇船体构造与构件尺寸第3部分：材料：钢、铝合金、木材及其他材料》。该标准草案规定了用于建造船体、上层建筑及附体（附属构件）的材料要求，具体包括：可焊接的普通强度和高强度热轧钢板、宽扁钢、型材和棒材；以板材或型材形式制成的奥氏体不锈钢；以板材、型材及挤压型材形式制成的变形铝合金；以实木、胶合板或单板形式制成的木材；其他适宜材料。该标准适用于根据 ISO 8666 标准艇体长度（LH）不超过 24 米的小型船艇。</w:t>
            </w:r>
          </w:p>
        </w:tc>
      </w:tr>
      <w:tr>
        <w:trPr>
          <w:trHeight w:val="6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sz w:val="22"/>
              </w:rPr>
              <w:t>埃及标准草案《小型船艇船体构造与构件尺寸第2部分：材料：夹层结构芯材、预埋材料》。该标准草案规定了用于结构用途的芯材以及嵌入夹层结构中的材料的要求。它适用于按照ISO 8666标准艇体长度（LH）不超过24米的小型船艇。</w:t>
            </w:r>
          </w:p>
        </w:tc>
      </w:tr>
      <w:tr>
        <w:trPr>
          <w:trHeight w:val="106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hAnsi="宋体"/>
                <w:sz w:val="22"/>
              </w:rPr>
            </w:pPr>
            <w:r>
              <w:rPr>
                <w:rFonts w:ascii="宋体" w:cs="宋体"/>
                <w:sz w:val="22"/>
              </w:rPr>
              <w:t>埃及“小型船舶。船体结构和尺寸。第1部分：材料：热固性树脂、玻璃纤维增强材料、参考层压板”标准草案。该标准草案适用于按照 ISO 8666 标准、艇体长度（LH）不超过 24 米的小型船艇建造中所使用的热固性树脂和玻璃纤维增强材料。该标准还规定了玻璃纤维增强材料和树脂基体材料性能的最低要求，以及由它们制成的参考层合板的性能要求。</w:t>
            </w:r>
          </w:p>
        </w:tc>
      </w:tr>
      <w:tr>
        <w:trPr>
          <w:trHeight w:val="614"/>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Ansi="宋体" w:hint="eastAsia"/>
                <w:sz w:val="22"/>
              </w:rPr>
            </w:pPr>
            <w:r>
              <w:rPr>
                <w:rFonts w:ascii="宋体" w:cs="宋体"/>
                <w:sz w:val="22"/>
              </w:rPr>
              <w:t>埃及标准草案《小型船舶 船体构造与构件尺寸第6部分：结构布置与细节》。本标准草案适用于根据ISO 8666测量，船体长度不超过24米、采用纤维增强塑料（FRP）、铝合金或钢合金、木材或其他合适造船材料建造的单体及多体小型船舶。</w:t>
            </w:r>
          </w:p>
        </w:tc>
      </w:tr>
      <w:tr>
        <w:trPr>
          <w:trHeight w:val="539"/>
        </w:trPr>
        <w:tc>
          <w:tcPr>
            <w:tcW w:w="1382" w:type="dxa"/>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巴西</w:t>
            </w: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Ansi="宋体" w:hint="eastAsia"/>
                <w:sz w:val="22"/>
              </w:rPr>
            </w:pPr>
            <w:r>
              <w:rPr>
                <w:rFonts w:ascii="宋体" w:cs="宋体"/>
                <w:sz w:val="22"/>
              </w:rPr>
              <w:t>2026年5月8日第15.404号法律。该标准确立了可可衍生品的定义和特性、巧克力中可可的最低百分比要求，并要求在境内销售的本国及进口可可衍生品标签上标注可可的总百分比。</w:t>
            </w:r>
          </w:p>
        </w:tc>
      </w:tr>
      <w:tr>
        <w:trPr>
          <w:trHeight w:val="618"/>
        </w:trPr>
        <w:tc>
          <w:tcPr>
            <w:tcW w:w="1382" w:type="dxa"/>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布隆迪</w:t>
            </w: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Ansi="宋体" w:hint="eastAsia"/>
                <w:sz w:val="22"/>
              </w:rPr>
            </w:pPr>
            <w:r>
              <w:rPr>
                <w:rFonts w:ascii="宋体" w:cs="宋体"/>
                <w:sz w:val="22"/>
              </w:rPr>
              <w:t>DEAS 1343：2026，磨刀器规范，第一版。本标准草案规定了用于削铅笔、蜡笔和类似书写工具的手动和机械卷笔刀的要求、取样和测试方法。它涵盖由塑料、金属或复合材料制成的磨刀器，无论是单孔还是多孔，不包括工业刀片磨刀器。它适用于不带储液器的手持式卷笔刀、带储液器的手持式卷笔刀、台式手动卷笔刀、机械或电动卷笔刀以及为化妆品铅笔、巨型艺术铅笔设计的专用卷笔刀。或其他非标准尺寸。</w:t>
            </w:r>
          </w:p>
        </w:tc>
      </w:tr>
      <w:tr>
        <w:trPr>
          <w:trHeight w:val="642"/>
        </w:trPr>
        <w:tc>
          <w:tcPr>
            <w:tcW w:w="1382" w:type="dxa"/>
            <w:vMerge w:val="restart"/>
            <w:tcBorders>
              <w:tl2br w:val="nil"/>
              <w:tr2bl w:val="nil"/>
            </w:tcBorders>
            <w:vAlign w:val="center"/>
          </w:tcPr>
          <w:p>
            <w:pPr>
              <w:pStyle w:val="242"/>
              <w:jc w:val="center"/>
            </w:pPr>
            <w:r>
              <w:t>菲律宾</w:t>
            </w: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sz w:val="22"/>
              </w:rPr>
              <w:t>认可和采用用于人用药品和活性药物成分注册的官方药典。该政策认可并采用官方药典，作为在菲律宾注册供人使用的药品和活性药物成分的参考。</w:t>
            </w:r>
          </w:p>
        </w:tc>
      </w:tr>
      <w:tr>
        <w:trPr>
          <w:trHeight w:val="106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Ansi="宋体" w:hint="eastAsia"/>
                <w:sz w:val="22"/>
              </w:rPr>
            </w:pPr>
            <w:r>
              <w:rPr>
                <w:rFonts w:ascii="宋体" w:cs="宋体"/>
                <w:sz w:val="22"/>
              </w:rPr>
              <w:t>DTI部门行政命令“太阳能系统强制性产品认证技术规定，包括太阳能光伏模块、逆变器、电池储能系统、快速关机装置、电池充电控制器和光伏电缆”。该部门行政命令旨在确保太阳能系统的组件，包括太阳能光伏模块、逆变器、电池储能系统、快速关闭装置、电池充电控制器和光伏电缆用于在菲律宾进口、制造、分销、销售、安装或使用，符合适用的菲律宾国家标准规定的安全和质量要求。这是为了保护消费者，确保产品可靠性，并促进该国采用安全高效的太阳能技术。</w:t>
            </w:r>
          </w:p>
        </w:tc>
      </w:tr>
      <w:tr>
        <w:trPr>
          <w:trHeight w:val="1861"/>
        </w:trPr>
        <w:tc>
          <w:tcPr>
            <w:tcW w:w="1382" w:type="dxa"/>
            <w:vMerge w:val="restart"/>
            <w:tcBorders>
              <w:tl2br w:val="nil"/>
              <w:tr2bl w:val="nil"/>
            </w:tcBorders>
            <w:vAlign w:val="center"/>
          </w:tcPr>
          <w:p>
            <w:pPr>
              <w:pStyle w:val="243"/>
              <w:jc w:val="center"/>
            </w:pPr>
            <w:r>
              <w:t>哥伦比亚</w:t>
            </w: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Ansi="宋体" w:hint="eastAsia"/>
                <w:sz w:val="22"/>
              </w:rPr>
            </w:pPr>
            <w:r>
              <w:rPr>
                <w:rFonts w:ascii="宋体" w:cs="宋体"/>
                <w:sz w:val="22"/>
              </w:rPr>
              <w:t>法令草案“建立了适用于医疗器械的卫生制度，确定了其营销授权、卫生监督和控制的规则，并发布了其他规定”。该法令草案规定了适用于哥伦比亚人用医疗器械和体外诊断医疗器械的新卫生制度，包括与制造、进口、销售、包装、储存、标签、卫生监督及合格评定相关的条款。该措施采用了基于医疗器械风险水平的监管框架，并规定了相应卫生授权的授予、修改、续期和注销的适用要求。同时，草案还制定了关于良好生产规范、储存和包装能力证书、上市后监督、可追溯性以及制造商、进口商和其他供应链参与者的义务等方面的规定。该草案旨在确保医疗器械的质量、安全性和性能，以最大程度降低人类健康和安全风险，并保护使用这些器械的人员。</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hAnsi="宋体"/>
                <w:sz w:val="22"/>
              </w:rPr>
            </w:pPr>
            <w:r>
              <w:rPr>
                <w:rFonts w:ascii="宋体" w:cs="宋体"/>
                <w:sz w:val="22"/>
              </w:rPr>
              <w:t>决议草案制定在国家领土上遵守和正确适用2025年安第斯第960号决定及其技术手册的必要规定，以及最低限度基本补充原则。制定了在哥伦比亚实施2025年安第斯第960号决定及其技术手册的必要规定，涉及公司、实验室和兽医用产品（药理学、生物制剂、体外寄生虫杀灭剂、杀虫剂、消毒剂等）的注册、更新、更新和控制。该措施规定了行政程序、文件要求、技术评估和更新登记册的时间表，以保证动物健康和安全，并与安第斯卫生框架保持一致。</w:t>
            </w:r>
          </w:p>
        </w:tc>
      </w:tr>
      <w:tr>
        <w:trPr>
          <w:trHeight w:val="613"/>
        </w:trPr>
        <w:tc>
          <w:tcPr>
            <w:tcW w:w="1382" w:type="dxa"/>
            <w:tcBorders>
              <w:tl2br w:val="nil"/>
              <w:tr2bl w:val="nil"/>
            </w:tcBorders>
            <w:vAlign w:val="center"/>
          </w:tcPr>
          <w:p>
            <w:pPr>
              <w:pStyle w:val="232"/>
              <w:jc w:val="center"/>
            </w:pPr>
            <w:r>
              <w:rPr>
                <w:rFonts w:cs="Lucida Sans"/>
              </w:rPr>
              <w:t>吉尔吉斯斯坦</w:t>
            </w: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hAnsi="宋体"/>
                <w:sz w:val="22"/>
              </w:rPr>
            </w:pPr>
            <w:r>
              <w:rPr>
                <w:rFonts w:ascii="宋体" w:cs="宋体"/>
                <w:sz w:val="22"/>
              </w:rPr>
              <w:t>《医疗器械安全质量有效性注册和审查规则》修订草案。《医疗器械安全性、质量和有效性注册和检验规则》修订草案规定，如果医疗器械上市许可申请中没有有效的检验结果报告，可以暂停上市许可的有效性，以防止质量差的医疗产品进入流通。</w:t>
            </w:r>
          </w:p>
        </w:tc>
      </w:tr>
      <w:tr>
        <w:trPr>
          <w:trHeight w:val="435"/>
        </w:trPr>
        <w:tc>
          <w:tcPr>
            <w:tcW w:w="1382" w:type="dxa"/>
            <w:tcBorders>
              <w:tl2br w:val="nil"/>
              <w:tr2bl w:val="nil"/>
            </w:tcBorders>
            <w:vAlign w:val="center"/>
          </w:tcPr>
          <w:p>
            <w:pPr>
              <w:pStyle w:val="93"/>
              <w:jc w:val="center"/>
            </w:pPr>
            <w:r>
              <w:rPr>
                <w:rFonts w:cs="Lucida Sans"/>
              </w:rPr>
              <w:t>哥斯达黎加</w:t>
            </w: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hAnsi="宋体"/>
                <w:sz w:val="22"/>
              </w:rPr>
            </w:pPr>
            <w:r>
              <w:rPr>
                <w:rFonts w:ascii="宋体" w:cs="宋体"/>
                <w:sz w:val="22"/>
              </w:rPr>
              <w:t>关于规范进口原产于哥伦比亚的大豆种子的决议草案。规定了进口原产于哥伦比亚的大豆种子的植物检疫措施。</w:t>
            </w:r>
          </w:p>
        </w:tc>
      </w:tr>
      <w:tr>
        <w:trPr>
          <w:trHeight w:val="925"/>
        </w:trPr>
        <w:tc>
          <w:tcPr>
            <w:tcW w:w="1382" w:type="dxa"/>
            <w:tcBorders>
              <w:tl2br w:val="nil"/>
              <w:tr2bl w:val="nil"/>
            </w:tcBorders>
            <w:vAlign w:val="center"/>
          </w:tcPr>
          <w:p>
            <w:pPr>
              <w:pStyle w:val="93"/>
              <w:jc w:val="center"/>
            </w:pPr>
            <w:r>
              <w:t>卢旺达</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hAnsi="宋体"/>
                <w:sz w:val="22"/>
              </w:rPr>
            </w:pPr>
            <w:r>
              <w:rPr>
                <w:rFonts w:ascii="宋体" w:cs="宋体"/>
                <w:sz w:val="22"/>
              </w:rPr>
              <w:t>DRS 642：2026，生物安全2级植物生物技术设施要求(BSL-2)。本标准草案规定了用于生物安全二级（BSL-2）水平的植物生物技术设施在设计、建造、运行、维护、管理及生物安全实践方面的要求。它适用于所有可能对人类和环境造成中度风险的研究与开发活动。该标准涵盖用于植物生物技术活动的实验室、生长室、温室、防护室及相关辅助区域，这些活动涉及需要BSL-2防护的生物因子和材料。具体内容聚焦于：a)设施设计与防护要求；b)生物安全与生物安保管理；c)人员能力与培训；d)操作与工作规范；e)设备要求；f)废物管理与去污；g)应急准备与响应；以及h)环境与职业安全措施。</w:t>
            </w:r>
          </w:p>
        </w:tc>
      </w:tr>
      <w:tr>
        <w:trPr>
          <w:trHeight w:val="301"/>
        </w:trPr>
        <w:tc>
          <w:tcPr>
            <w:tcW w:w="1382" w:type="dxa"/>
            <w:tcBorders>
              <w:tl2br w:val="nil"/>
              <w:tr2bl w:val="nil"/>
            </w:tcBorders>
            <w:vAlign w:val="center"/>
          </w:tcPr>
          <w:p>
            <w:pPr>
              <w:pStyle w:val="233"/>
              <w:jc w:val="center"/>
            </w:pPr>
            <w:r>
              <w:t>肯尼亚</w:t>
            </w: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hAnsi="宋体"/>
                <w:sz w:val="22"/>
              </w:rPr>
            </w:pPr>
            <w:r>
              <w:rPr>
                <w:rFonts w:ascii="宋体" w:cs="宋体"/>
                <w:sz w:val="22"/>
              </w:rPr>
              <w:t>DEAS 128：2026，精米规格，第五版。本标准草案规定了从米粒中生长的碾米品种的要求、取样和试验方法。)供人食用。本标准也适用于磨碎的蒸谷米。</w:t>
            </w:r>
          </w:p>
        </w:tc>
      </w:tr>
      <w:tr>
        <w:trPr>
          <w:trHeight w:val="1237"/>
        </w:trPr>
        <w:tc>
          <w:tcPr>
            <w:tcW w:w="1382" w:type="dxa"/>
            <w:vMerge w:val="restart"/>
            <w:tcBorders>
              <w:tl2br w:val="nil"/>
              <w:tr2bl w:val="nil"/>
            </w:tcBorders>
            <w:vAlign w:val="center"/>
          </w:tcPr>
          <w:p>
            <w:pPr>
              <w:pStyle w:val="244"/>
              <w:jc w:val="center"/>
            </w:pPr>
            <w:r>
              <w:t>秘鲁</w:t>
            </w: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hAnsi="宋体"/>
                <w:sz w:val="22"/>
              </w:rPr>
            </w:pPr>
            <w:r>
              <w:rPr>
                <w:rFonts w:ascii="宋体" w:cs="宋体"/>
                <w:sz w:val="22"/>
              </w:rPr>
              <w:t>第32159号法律条例草案：《控制烟草产品、尼古丁或两者替代品消费以保护生命和健康法》。该条例旨在发展第32159号法律《控制烟草产品、尼古丁或其替代品消费以保护生命和健康法》的规定，通过适用与限制和禁止烟草产品、尼古丁产品及其替代品的广告、营销和消费有关的规定，保护生命并保障个人、家庭和社区的健康权；其监测和控制；以及将消费这些产品所产生的健康、社会、环境和经济后果社会化的信息和教育。</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修改《食品和饮料卫生监督和控制条例》第119条的最高法令草案。经第007-98-SA号最高法令批准，该最高法令草案旨在修改第007-98-SA号最高法令批准的《食品和饮料卫生监督和控制条例》第119条（材料和包装）。</w:t>
            </w:r>
          </w:p>
        </w:tc>
      </w:tr>
      <w:tr>
        <w:trPr>
          <w:trHeight w:val="699"/>
        </w:trPr>
        <w:tc>
          <w:tcPr>
            <w:tcW w:w="1382" w:type="dxa"/>
            <w:vMerge w:val="restart"/>
            <w:tcBorders>
              <w:tl2br w:val="nil"/>
              <w:tr2bl w:val="nil"/>
            </w:tcBorders>
            <w:vAlign w:val="center"/>
          </w:tcPr>
          <w:p>
            <w:pPr>
              <w:pStyle w:val="245"/>
              <w:jc w:val="center"/>
              <w:textAlignment w:val="center"/>
            </w:pPr>
            <w:r>
              <w:t>墨西哥</w:t>
            </w: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墨西哥官方标准草案PROY-NOM-027-ASEA-2026加油站，其特定目的是向公众销售液化天然气或机动车辆液化天然气。该项目旨在制定工业安全、操作安全和环境保护的技术规范和要求，这些规范和要求必须应用于加油站的设计、施工、运营和维护阶段，以及启动前的安全审查，具体目的是向公众销售液化天然气或液化天然气，用于机动车辆。</w:t>
            </w:r>
          </w:p>
        </w:tc>
      </w:tr>
      <w:tr>
        <w:trPr>
          <w:trHeight w:val="35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墨西哥官方标准草案PROY-NOM-026-ASEA-2026，受碳氢化合物部门污染物排放和转移登记联邦能力报告约束的物质。清单、碳氢化合物部门的报告阈值以及纳入和排除物质或修改其报告阈值的技术标准。该项目旨在建立碳氢化合物部门活动中排放或转移的受联邦碳氢化合物部门管辖的物质清单，以纳入污染物排放和转移登记册。</w:t>
            </w:r>
          </w:p>
        </w:tc>
      </w:tr>
      <w:tr>
        <w:trPr>
          <w:trHeight w:val="338"/>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墨西哥官方标准草案 PROY-NOM-032-STPS-2026《地下煤矿安全》。该草案旨在规定地下煤矿必须遵守的安全与健康条件和要求，并就地下煤矿运行所需配套的地面设施中应遵守的适用职业安全与健康标准作出规定，目的是为了预防在这些工作场所工作的劳动者发生工伤事故或罹患职业病。</w:t>
            </w:r>
          </w:p>
        </w:tc>
      </w:tr>
      <w:tr>
        <w:trPr>
          <w:trHeight w:val="91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墨西哥官方标准草案PROY-NOM-028-ASEA-2026通过半挂车运输或分配液化天然气安全条件以及船上集装箱和设备的操作。该项目旨在制定工业安全、操作安全和环境保护方面的技术规范和要求，通过液化天然气集装箱、设备和配件进行液化天然气运输或分配活动的监管机构必须遵守这些规范和要求。半挂车，在运营开始、运营和维护以及运营结束阶段。</w:t>
            </w:r>
          </w:p>
        </w:tc>
      </w:tr>
      <w:tr>
        <w:trPr>
          <w:trHeight w:val="6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墨西哥官方标准草案PROY-NOM-029-ASEA-2026通过油罐车和半挂车运输液化石油气。该项目旨在制定工业安全、操作安全和环境保护的技术规范和要求，这些规范和要求是通过罐车和半挂车进行液化石油气运输活动的受监管人员必须遵守的，在后一种情况下是各自的牵引车（牵引车-半挂车）。</w:t>
            </w:r>
          </w:p>
        </w:tc>
      </w:tr>
      <w:tr>
        <w:trPr>
          <w:trHeight w:val="701"/>
        </w:trPr>
        <w:tc>
          <w:tcPr>
            <w:tcW w:w="1382" w:type="dxa"/>
            <w:tcBorders>
              <w:tl2br w:val="nil"/>
              <w:tr2bl w:val="nil"/>
            </w:tcBorders>
            <w:vAlign w:val="center"/>
          </w:tcPr>
          <w:p>
            <w:pPr>
              <w:pStyle w:val="234"/>
              <w:jc w:val="center"/>
              <w:textAlignment w:val="center"/>
            </w:pPr>
            <w:r>
              <w:t>尼泊尔</w:t>
            </w: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鱼饲料的拟定标准。本内容规定了根据尼泊尔2033饲料法案发布的鱼饲料质量标准。它定义的范围为涵盖为鱼饲养而生产和包装的所有类型的鱼饲料。鱼饲料被描述为由加工、半加工或原料制成的配制产品，所述原料被研磨、混合、调节或烹饪、干燥，并以颗粒、碎屑或粉末等形式制备，以满足鱼的营养需求并增强其生长、健康、繁殖和生产力。标准要求鱼饲料必须清洁、安全，没有霉菌、害虫和污染。它列出了允许的原材料，如谷物、油籽饼、鱼粉、骨粉、植物性成分和矿物质补充剂。禁止任何外来有机或无机物的存在。营养补充剂和饲料添加剂可用于改善或保持质量；但鱼饲料中严禁使用抗生素和尿素。</w:t>
            </w:r>
          </w:p>
        </w:tc>
      </w:tr>
      <w:tr>
        <w:trPr>
          <w:trHeight w:val="571"/>
        </w:trPr>
        <w:tc>
          <w:tcPr>
            <w:tcW w:w="1382" w:type="dxa"/>
            <w:vMerge w:val="restart"/>
            <w:tcBorders>
              <w:tl2br w:val="nil"/>
              <w:tr2bl w:val="nil"/>
            </w:tcBorders>
            <w:vAlign w:val="center"/>
          </w:tcPr>
          <w:p>
            <w:pPr>
              <w:pStyle w:val="246"/>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hint="eastAsia"/>
                <w:sz w:val="22"/>
              </w:rPr>
              <w:t>XXX委员会条例草案(EU)修订欧洲议会和理事会第1907/2006号(EC)条例附件十七，涉及混合物和物品中作为一种物质、其他物质的成分的氢化三联苯</w:t>
            </w:r>
            <w:r>
              <w:rPr>
                <w:rFonts w:ascii="宋体" w:cs="宋体"/>
                <w:sz w:val="22"/>
              </w:rPr>
              <w:t>。</w:t>
            </w:r>
            <w:r>
              <w:rPr>
                <w:rFonts w:ascii="宋体" w:cs="宋体" w:hint="eastAsia"/>
                <w:sz w:val="22"/>
              </w:rPr>
              <w:t>本法规草案拟在（EC）第1907/2006号法规附件XVII中新增一个条目。其目的是限制氢化三联苯的使用及其在市场上的投放，无论是作为其本身的物质单独存在，还是作为其他物质的成分存在于混合物、物品或其任何部件中，且其重量浓度大于0.1%时。拟议的永久性豁免包括：（i）在工业场所用作250°C至350°C温度范围内的传热流体，且这些场所已实施严格受控的封闭系统以防止氢化三联苯排放的使用情形</w:t>
            </w:r>
            <w:r>
              <w:rPr>
                <w:rFonts w:ascii="宋体" w:cs="宋体"/>
                <w:sz w:val="22"/>
              </w:rPr>
              <w:t>；</w:t>
            </w:r>
            <w:r>
              <w:rPr>
                <w:rFonts w:ascii="宋体" w:cs="宋体" w:hint="eastAsia"/>
                <w:sz w:val="22"/>
              </w:rPr>
              <w:t>（ii）国防应用领域。该法规草案的实施推迟18个月生效，但民用航空航天应用领域除外，针对该领域拟议了10年的过渡期。</w:t>
            </w:r>
          </w:p>
        </w:tc>
      </w:tr>
      <w:tr>
        <w:trPr>
          <w:trHeight w:val="104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欧盟委员会授权法规草案，对欧洲议会和理事会关于便携式电池可拆卸性和可更换性豁免的 (EU) 2023/1542 号法规进行补充。该欧盟委员会授权法规草案旨在将新增产品类别纳入《电池法规》第11条第(2)款现有清单中，针对这些类别的产品，其便携式电池只需能够由独立操作者进行拆卸和更换即可。</w:t>
            </w:r>
          </w:p>
        </w:tc>
      </w:tr>
      <w:tr>
        <w:trPr>
          <w:trHeight w:val="60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hint="eastAsia"/>
                <w:sz w:val="22"/>
              </w:rPr>
              <w:t>(EU)委员会授权条例草案修订了关于酵母发酵加工助剂的理事会指令2001/112/EC</w:t>
            </w:r>
            <w:r>
              <w:rPr>
                <w:rFonts w:ascii="宋体" w:cs="宋体"/>
                <w:sz w:val="22"/>
              </w:rPr>
              <w:t>。</w:t>
            </w:r>
            <w:r>
              <w:rPr>
                <w:rFonts w:ascii="宋体" w:cs="宋体" w:hint="eastAsia"/>
                <w:sz w:val="22"/>
              </w:rPr>
              <w:t>本委员会授权法规草案修订了理事会指令2001/112/EC，以允许使用酵母发酵加工助剂生产可根据欧洲议会和理事会2024年5月14日修订指令(EU)2024/1438销售的低糖果汁产品</w:t>
            </w:r>
            <w:r>
              <w:rPr>
                <w:rFonts w:ascii="宋体" w:cs="宋体"/>
                <w:sz w:val="22"/>
              </w:rPr>
              <w:t>。</w:t>
            </w:r>
          </w:p>
        </w:tc>
      </w:tr>
      <w:tr>
        <w:trPr>
          <w:trHeight w:val="67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(EU)委员会授权条例草案，修订(EU)授权条例2022/2104，补充欧洲议会和理事会关于橄榄油营销标准的第1308/2013号(EU)条例。该法案引入了一项关于Koroneiki或Nocellara del Belice品种的单一品种橄榄油标签的新条款，并修订了(EU)授权条例2022/2104关于这些品种化学参数总甾醇含量的附件一。</w:t>
            </w:r>
          </w:p>
        </w:tc>
      </w:tr>
      <w:tr>
        <w:trPr>
          <w:trHeight w:val="8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关于欧盟委员会实施条例的提案，该条例规定了根据欧洲议会和理事会第2024/1781号(EU)条例建立的数字产品护照登记处的实施安排。作为可持续产品生态设计法规（ESPR）的一部分，推出了数字产品护照，以方便访问与产品可持续性、循环性和法律合规性相关的数字信息。该计划将为数字产品护照注册建立实施安排。它将规定登记处的主要组成部分，并在数字产品护照登记处、国家主管当局和海关当局以及委员会的框架内，规定将产品投放市场或投入服务的经济运营商以及其他价值链参与者（如但不限于数字产品护照服务提供商、授权代表、维修商、翻新商、再制造商、回收商）的技术和运营角色和义务。此外，它将建立一个日志系统，记录和监测在登记册中进行的业务和互动，以确保对所有用户的问责，并界定登记册的维护、运作和安全的责任。</w:t>
            </w:r>
          </w:p>
        </w:tc>
      </w:tr>
      <w:tr>
        <w:trPr>
          <w:trHeight w:val="6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hint="eastAsia"/>
                <w:sz w:val="22"/>
              </w:rPr>
              <w:t>(EU)委员会授权条例草案修订了关于酵母发酵加工助剂的理事会指令2001/112/EC</w:t>
            </w:r>
            <w:r>
              <w:rPr>
                <w:rFonts w:ascii="宋体" w:cs="宋体"/>
                <w:sz w:val="22"/>
              </w:rPr>
              <w:t>.</w:t>
            </w:r>
            <w:r>
              <w:rPr>
                <w:rFonts w:ascii="宋体" w:cs="宋体" w:hint="eastAsia"/>
                <w:sz w:val="22"/>
              </w:rPr>
              <w:t>本委员会授权法规草案修订了理事会指令2001/112/EC，以允许使用酵母发酵加工助剂生产可根据欧洲议会和理事会2024年5月14日修订指令(EU)2024/1438销售的低糖果汁产品</w:t>
            </w:r>
            <w:r>
              <w:rPr>
                <w:rFonts w:ascii="宋体" w:cs="宋体"/>
                <w:sz w:val="22"/>
              </w:rPr>
              <w:t>。</w:t>
            </w:r>
          </w:p>
        </w:tc>
      </w:tr>
      <w:tr>
        <w:trPr>
          <w:trHeight w:val="6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委员会实施法规，规定了适用(EU)法规2024/1257关于M1和N1类机动车制动颗粒排放的规则、程序、测试方法和管理要求。 该实施法规草案根据(EU)法规2024/1257（欧7）对M1和N1车辆的制动颗粒排放制定了全面的要求，纳入了关于轻型车辆制动排放实验室测量的联合国法规第179号。</w:t>
            </w:r>
          </w:p>
        </w:tc>
      </w:tr>
      <w:tr>
        <w:trPr>
          <w:trHeight w:val="30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委员会实施条例修订了(EU)实施条例2025/1706，涉及具体方法、要求和测试，以及有关车载电池耐久性、电动汽车低温续航里程和电动汽车系统功率的管理要求。该草案根据(EU)法规2024/1257（欧7）制定了车载电池耐久性、电动汽车低温续航里程和系统功率确定的实施措施。它纳入了联合国欧洲经委会最新的全球统一标准，特别是联合国第154号法规（04系列修正案）和联合国第83号法规（09系列修正案），以确保对M1和N1类车辆进行稳健且具有现实代表性的测试。草案介绍了型式认可的具体方法和测试要求，包括车载电池的生命周期耐久性测试、低温下的电动续航里程验证以及多电机电动汽车的系统功率确定。</w:t>
            </w:r>
          </w:p>
        </w:tc>
      </w:tr>
      <w:tr>
        <w:trPr>
          <w:trHeight w:val="274"/>
        </w:trPr>
        <w:tc>
          <w:tcPr>
            <w:tcW w:w="1382" w:type="dxa"/>
            <w:tcBorders>
              <w:tl2br w:val="nil"/>
              <w:tr2bl w:val="nil"/>
            </w:tcBorders>
            <w:vAlign w:val="center"/>
          </w:tcPr>
          <w:p>
            <w:pPr>
              <w:pStyle w:val="223"/>
              <w:jc w:val="center"/>
              <w:textAlignment w:val="center"/>
            </w:pPr>
            <w:r>
              <w:t>土耳其</w:t>
            </w:r>
          </w:p>
        </w:tc>
        <w:tc>
          <w:tcPr>
            <w:tcW w:w="596" w:type="dxa"/>
            <w:tcBorders>
              <w:top w:val="single" w:sz="4" w:space="0" w:color="000000"/>
              <w:left w:val="single" w:sz="4" w:space="0" w:color="000000"/>
              <w:right w:val="single" w:sz="4" w:space="0" w:color="000000"/>
            </w:tcBorders>
            <w:vAlign w:val="center"/>
          </w:tcPr>
          <w:p>
            <w:pPr>
              <w:pStyle w:val="13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93" w:type="dxa"/>
            <w:vAlign w:val="center"/>
          </w:tcPr>
          <w:p>
            <w:pPr>
              <w:pStyle w:val="64"/>
              <w:jc w:val="left"/>
              <w:rPr>
                <w:rFonts w:ascii="宋体" w:cs="宋体"/>
                <w:sz w:val="22"/>
              </w:rPr>
            </w:pPr>
            <w:r>
              <w:rPr>
                <w:rFonts w:ascii="宋体" w:cs="宋体"/>
                <w:sz w:val="22"/>
              </w:rPr>
              <w:t>土耳其食品法典委员会关于限制在与食品接触的某些材料和物品中使用双酚A、其他有害双酚、双酚衍生物的公报。本公报的目的是为双酚A（BPA）及其盐类，以及用于生产与食品接触的某些材料和物品的其他有害双酚和双酚衍生物制定具体规则。</w:t>
            </w:r>
          </w:p>
        </w:tc>
      </w:tr>
      <w:tr>
        <w:trPr>
          <w:trHeight w:val="447"/>
        </w:trPr>
        <w:tc>
          <w:tcPr>
            <w:tcW w:w="1382" w:type="dxa"/>
            <w:vMerge w:val="restart"/>
            <w:tcBorders>
              <w:tl2br w:val="nil"/>
              <w:tr2bl w:val="nil"/>
            </w:tcBorders>
            <w:vAlign w:val="center"/>
          </w:tcPr>
          <w:p>
            <w:pPr>
              <w:pStyle w:val="235"/>
              <w:jc w:val="center"/>
            </w:pPr>
            <w:r>
              <w:t>日本</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sz w:val="22"/>
              </w:rPr>
              <w:t>食品卫生法案下食品、食品添加剂等规范的标准的修订（农业化学品残留标准修订）。下列农用化学品的最大残留限量提案：农药：喹氯胺。</w:t>
            </w:r>
          </w:p>
        </w:tc>
      </w:tr>
      <w:tr>
        <w:trPr>
          <w:trHeight w:val="586"/>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食品卫生法案下食品、食品添加剂等规范和标准的修订（农业化学品残留标准修订）。下列农用化学品的最大残留限量提案：农药：丙霉威。</w:t>
            </w:r>
          </w:p>
        </w:tc>
      </w:tr>
      <w:tr>
        <w:trPr>
          <w:trHeight w:val="530"/>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食品卫生法案下食品、食品添加剂等规范和标准的修订（农业化学品的残留标准修订）。下列农用化学品的最大残留限量提案：农药：螺吡酮。</w:t>
            </w:r>
          </w:p>
        </w:tc>
      </w:tr>
      <w:tr>
        <w:trPr>
          <w:trHeight w:val="687"/>
        </w:trPr>
        <w:tc>
          <w:tcPr>
            <w:tcW w:w="1382" w:type="dxa"/>
            <w:vMerge w:val="restart"/>
            <w:tcBorders>
              <w:tl2br w:val="nil"/>
              <w:tr2bl w:val="nil"/>
            </w:tcBorders>
            <w:vAlign w:val="center"/>
          </w:tcPr>
          <w:p>
            <w:pPr>
              <w:pStyle w:val="364"/>
              <w:jc w:val="center"/>
            </w:pPr>
            <w:r>
              <w:t>乌干达</w:t>
            </w: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DARS 1540：2025，化妆品润唇膏（润唇膏）规范，第一版。本标准草案规定了以石油或植物油为基础的润唇膏（唇部软膏）的要求、取样和试验方法。本标准不涵盖具有治疗功效声明的润唇膏、唇膏、唇彩及乳化型产品。</w:t>
            </w:r>
          </w:p>
        </w:tc>
      </w:tr>
      <w:tr>
        <w:trPr>
          <w:trHeight w:val="100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DARS 2177：2026，建筑涂料实践规范，第一版。该标准给出了建筑物内部和外部初始油漆和维护油漆的良好实践建议，例如住宅、办公室、轻工业建筑、学校、医院、酒店和一般公共建筑，其中装饰是一个重要且通常是主要因素。该规范考虑到了保护许多建筑材料免受天气或通常遇到的其他形式的攻击的需要。</w:t>
            </w:r>
          </w:p>
        </w:tc>
      </w:tr>
      <w:tr>
        <w:trPr>
          <w:trHeight w:val="5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hint="eastAsia"/>
                <w:sz w:val="22"/>
              </w:rPr>
              <w:t>DARS 2178:2026，《室内外用溶剂型光泽漆规范》，第一版</w:t>
            </w:r>
            <w:r>
              <w:rPr>
                <w:rFonts w:ascii="宋体" w:cs="宋体"/>
                <w:sz w:val="22"/>
              </w:rPr>
              <w:t>。</w:t>
            </w:r>
            <w:r>
              <w:rPr>
                <w:rFonts w:ascii="宋体" w:cs="宋体" w:hint="eastAsia"/>
                <w:sz w:val="22"/>
              </w:rPr>
              <w:t>本标准草案规定了室内外用溶剂型光泽漆的要求、取样和试验方法。本标准不适用于汽车、道路标线和工业用漆。</w:t>
            </w:r>
          </w:p>
        </w:tc>
      </w:tr>
      <w:tr>
        <w:trPr>
          <w:trHeight w:val="541"/>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DUS 33：2026，食用冰和冰混合物规范，第四版。该标准草案规定了可供人类食用的液体或粉末或干燥形式的食用冰和冰混合物的要求、取样和测试方法。</w:t>
            </w:r>
          </w:p>
        </w:tc>
      </w:tr>
      <w:tr>
        <w:trPr>
          <w:trHeight w:val="651"/>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hint="eastAsia"/>
                <w:sz w:val="22"/>
              </w:rPr>
              <w:t>DARS 2180:2026，《室内外半光（蛋壳光）溶剂型漆规范》，第一版</w:t>
            </w:r>
            <w:r>
              <w:rPr>
                <w:rFonts w:ascii="宋体" w:cs="宋体"/>
                <w:sz w:val="22"/>
              </w:rPr>
              <w:t>。</w:t>
            </w:r>
            <w:r>
              <w:rPr>
                <w:rFonts w:ascii="宋体" w:cs="宋体" w:hint="eastAsia"/>
                <w:sz w:val="22"/>
              </w:rPr>
              <w:t>本标准草案规定了室内外用半光（蛋壳光）溶剂型漆的要求、取样和试验方法。本标准不适用于汽车、道路标线和工业用途。</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rPr>
                <w:rFonts w:hint="eastAsia"/>
              </w:rPr>
              <w:t>DARS 2179:2026，《道路标线漆规范》，第一版</w:t>
            </w:r>
            <w:r>
              <w:t>。</w:t>
            </w:r>
            <w:r>
              <w:rPr>
                <w:rFonts w:hint="eastAsia"/>
              </w:rPr>
              <w:t>本标准草案规定了用于沥青或混凝土表面标线的溶剂型和水性道路标线漆的要求、取样和试验方法。本标准对白色、黄色和黑色作出了规定。</w:t>
            </w:r>
          </w:p>
        </w:tc>
      </w:tr>
      <w:tr>
        <w:trPr>
          <w:trHeight w:val="68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DARS 1539：2025，化妆品唇彩（光泽）规范，第一版。本标准草案规定了基于精炼植物油或矿物油的唇彩（唇蜜）的要求、取样和试验方法。本标准不涵盖具有治疗功效声明的唇彩（唇蜜）。本标准也不适用于唇膏和润唇膏。</w:t>
            </w:r>
          </w:p>
        </w:tc>
      </w:tr>
      <w:tr>
        <w:trPr>
          <w:trHeight w:val="525"/>
        </w:trPr>
        <w:tc>
          <w:tcPr>
            <w:tcW w:w="1382" w:type="dxa"/>
            <w:tcBorders>
              <w:tl2br w:val="nil"/>
              <w:tr2bl w:val="nil"/>
            </w:tcBorders>
            <w:vAlign w:val="center"/>
          </w:tcPr>
          <w:p>
            <w:pPr>
              <w:pStyle w:val="237"/>
              <w:jc w:val="center"/>
            </w:pPr>
            <w:r>
              <w:t>新西兰</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hint="eastAsia"/>
                <w:sz w:val="22"/>
              </w:rPr>
              <w:t>重新评估申请批准–APP204919：重新评估联苯菊酯及含联苯菊酯物质的申请</w:t>
            </w:r>
            <w:r>
              <w:rPr>
                <w:rFonts w:ascii="宋体" w:cs="宋体"/>
                <w:sz w:val="22"/>
              </w:rPr>
              <w:t>。</w:t>
            </w:r>
            <w:r>
              <w:rPr>
                <w:rFonts w:ascii="宋体" w:cs="宋体" w:hint="eastAsia"/>
                <w:sz w:val="22"/>
              </w:rPr>
              <w:t>美国环保署提议对含联苯菊酯物质的批准进行修改。建议审查根据1996年《危险物质和新生物体法》对联苯菊酯和含联苯菊酯物质的进口和制造放行的批准，并改变适用于其使用的限制。环境保护局提议禁止使用广泛分散的方法施用联苯菊酯，但出于生物安全目的使用这些物质除外，在这种情况下，需要环境保护局的许可。当这些物质以广泛分散的施用方法施用时，对环境，特别是与暴露相关的水生环境存在不可忽视的风险。因此，环境保护局建议禁止这些应用方法，并从决定之日起有6个月的淘汰期。建议对含联苯菊酯物质的使用施加额外限制，以管理联苯菊酯的风险，这种风险在通过有针对性的现场喷洒施用该物质时可能出现。</w:t>
            </w:r>
          </w:p>
        </w:tc>
      </w:tr>
      <w:tr>
        <w:trPr>
          <w:trHeight w:val="925"/>
        </w:trPr>
        <w:tc>
          <w:tcPr>
            <w:tcW w:w="1382" w:type="dxa"/>
            <w:vMerge w:val="restart"/>
            <w:tcBorders>
              <w:tl2br w:val="nil"/>
              <w:tr2bl w:val="nil"/>
            </w:tcBorders>
            <w:vAlign w:val="center"/>
          </w:tcPr>
          <w:p>
            <w:pPr>
              <w:pStyle w:val="365"/>
              <w:jc w:val="center"/>
            </w:pPr>
            <w:r>
              <w:t>牙买加</w:t>
            </w: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牙买加伏特加标准规范。本标准规定了伏特加（包括风味伏特加）的特性、标签、包装、要求和取样方法。它为生产过程提供了指导，并对终产品中的重金属及其他相关成分参数设定了最高限量。本标准还概述了适用于龙舌兰酒的微生物准则，以确保产品的安全性和质量。</w:t>
            </w:r>
          </w:p>
        </w:tc>
      </w:tr>
      <w:tr>
        <w:trPr>
          <w:trHeight w:val="709"/>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牙买加威士忌标准规范。本标准规定了供人饮用的威士忌的特性、标签、包装和取样要求。内容包括基于生产方法和原料的类型标识和分类规定。本标准还规定了重金属限量，并概述了成分和质量要求，以确保产品的安全性和一致性。</w:t>
            </w:r>
          </w:p>
        </w:tc>
      </w:tr>
      <w:tr>
        <w:trPr>
          <w:trHeight w:val="61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牙买加龙舌兰酒标准规范。本标准规定了龙舌兰酒的要求和取样方法。它为生产过程提供指导，并确定最终产品中重金属和其他相关成分参数的最高限值。该标准还概述了适用于龙舌兰酒的微生物标准，以确保产品安全和质量。</w:t>
            </w:r>
          </w:p>
        </w:tc>
      </w:tr>
      <w:tr>
        <w:trPr>
          <w:trHeight w:val="101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牙买加标准规格葡萄酒。本标准规定了葡萄酒的要求，并详细说明了葡萄酒的标签、生产工艺及特性。它为生产过程提供了指导，并对终产品中的重金属及其他相关成分参数设定了最高限量。本标准还概述了适用于龙舌兰酒的微生物准则，以确保产品的安全性和质量。</w:t>
            </w:r>
          </w:p>
        </w:tc>
      </w:tr>
      <w:tr>
        <w:trPr>
          <w:trHeight w:val="74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2"/>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93" w:type="dxa"/>
            <w:vAlign w:val="center"/>
          </w:tcPr>
          <w:p>
            <w:pPr>
              <w:pStyle w:val="191"/>
              <w:jc w:val="left"/>
              <w:rPr>
                <w:rFonts w:ascii="宋体" w:cs="宋体"/>
                <w:sz w:val="22"/>
              </w:rPr>
            </w:pPr>
            <w:r>
              <w:rPr>
                <w:rFonts w:ascii="宋体" w:cs="宋体" w:hint="eastAsia"/>
                <w:sz w:val="22"/>
              </w:rPr>
              <w:t>牙买加酿造产品标准规范</w:t>
            </w:r>
            <w:r>
              <w:rPr>
                <w:rFonts w:ascii="宋体" w:cs="宋体"/>
                <w:sz w:val="22"/>
              </w:rPr>
              <w:t>。</w:t>
            </w:r>
            <w:r>
              <w:rPr>
                <w:rFonts w:ascii="宋体" w:cs="宋体" w:hint="eastAsia"/>
                <w:sz w:val="22"/>
              </w:rPr>
              <w:t>标准规定了在该地区销售或交易的酿造产品的要求。它不适用于非源自谷物并以通用名称销售的饮料，包括“啤酒”和“麦芽酒”。例如姜汁啤酒、姜汁汽水、根汁汽水不在标准范围内。</w:t>
            </w:r>
          </w:p>
        </w:tc>
      </w:tr>
      <w:tr>
        <w:trPr>
          <w:trHeight w:val="654"/>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3"/>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93" w:type="dxa"/>
            <w:vAlign w:val="center"/>
          </w:tcPr>
          <w:p>
            <w:pPr>
              <w:pStyle w:val="192"/>
              <w:jc w:val="left"/>
              <w:rPr>
                <w:rFonts w:ascii="宋体" w:cs="宋体"/>
                <w:sz w:val="22"/>
              </w:rPr>
            </w:pPr>
            <w:r>
              <w:rPr>
                <w:rFonts w:ascii="宋体" w:cs="宋体"/>
                <w:sz w:val="22"/>
              </w:rPr>
              <w:t>预包装食品标签技术法规。该技术法规规定了管理预包装食品标签、其进口、生产和牙买加境内贸易的规则。该技术法规规定了以下内容：a.预包装食品的标签要求；b.产品标签要求：水果和蔬菜汁和饮料以及水果花蜜酿酒产品。</w:t>
            </w:r>
          </w:p>
        </w:tc>
      </w:tr>
      <w:tr>
        <w:trPr>
          <w:trHeight w:val="53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93" w:type="dxa"/>
            <w:vAlign w:val="center"/>
          </w:tcPr>
          <w:p>
            <w:pPr>
              <w:jc w:val="left"/>
              <w:rPr>
                <w:rFonts w:ascii="宋体" w:cs="宋体"/>
                <w:sz w:val="22"/>
              </w:rPr>
            </w:pPr>
            <w:r>
              <w:rPr>
                <w:rFonts w:ascii="宋体" w:cs="宋体"/>
                <w:sz w:val="22"/>
              </w:rPr>
              <w:t>预包装货物标签技术法规。该技术法规规定了管理预包装货物标签、其进口、生产和牙买加境内贸易的规则。拟议的技术法规旨在提供范围、应用、术语和定义、一般、具体产品标签要求和管理规定。</w:t>
            </w:r>
          </w:p>
        </w:tc>
      </w:tr>
      <w:tr>
        <w:trPr>
          <w:trHeight w:val="368"/>
        </w:trPr>
        <w:tc>
          <w:tcPr>
            <w:tcW w:w="1382" w:type="dxa"/>
            <w:vMerge w:val="restart"/>
            <w:tcBorders>
              <w:tl2br w:val="nil"/>
              <w:tr2bl w:val="nil"/>
            </w:tcBorders>
            <w:vAlign w:val="center"/>
          </w:tcPr>
          <w:p>
            <w:pPr>
              <w:pStyle w:val="368"/>
              <w:jc w:val="center"/>
            </w:pPr>
            <w:r>
              <w:t>印度</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93" w:type="dxa"/>
            <w:vAlign w:val="center"/>
          </w:tcPr>
          <w:p>
            <w:pPr>
              <w:jc w:val="left"/>
              <w:rPr>
                <w:rFonts w:ascii="宋体" w:cs="宋体"/>
                <w:sz w:val="22"/>
              </w:rPr>
            </w:pPr>
            <w:r>
              <w:rPr>
                <w:rFonts w:ascii="宋体" w:cs="宋体" w:hint="eastAsia"/>
                <w:sz w:val="22"/>
              </w:rPr>
              <w:t>“局域网电缆”基本要求（ER）新标准的通报</w:t>
            </w:r>
            <w:r>
              <w:rPr>
                <w:rFonts w:ascii="宋体" w:cs="宋体"/>
                <w:sz w:val="22"/>
              </w:rPr>
              <w:t>。</w:t>
            </w:r>
            <w:r>
              <w:rPr>
                <w:rFonts w:ascii="宋体" w:cs="宋体" w:hint="eastAsia"/>
                <w:sz w:val="22"/>
              </w:rPr>
              <w:t>标准草案是用于合格评定的“局域网电缆”的基本要求标准。</w:t>
            </w:r>
          </w:p>
        </w:tc>
      </w:tr>
      <w:tr>
        <w:trPr>
          <w:trHeight w:val="34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93" w:type="dxa"/>
            <w:vAlign w:val="center"/>
          </w:tcPr>
          <w:p>
            <w:pPr>
              <w:jc w:val="left"/>
              <w:rPr>
                <w:rFonts w:ascii="宋体" w:cs="宋体"/>
                <w:sz w:val="22"/>
              </w:rPr>
            </w:pPr>
            <w:r>
              <w:rPr>
                <w:rFonts w:ascii="宋体" w:cs="宋体"/>
                <w:sz w:val="22"/>
              </w:rPr>
              <w:t>2026年食品安全和标准（包装）修订条例草案。2026年食品安全和标准（包装）修订条例草案涉及在条例中纳入额外的定义。</w:t>
            </w:r>
          </w:p>
        </w:tc>
      </w:tr>
      <w:tr>
        <w:trPr>
          <w:trHeight w:val="2485"/>
        </w:trPr>
        <w:tc>
          <w:tcPr>
            <w:tcW w:w="1382" w:type="dxa"/>
            <w:vMerge w:val="restart"/>
            <w:tcBorders>
              <w:tl2br w:val="nil"/>
              <w:tr2bl w:val="nil"/>
            </w:tcBorders>
            <w:vAlign w:val="center"/>
          </w:tcPr>
          <w:p>
            <w:pPr>
              <w:pStyle w:val="369"/>
              <w:jc w:val="center"/>
            </w:pPr>
            <w:r>
              <w:t>英国</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193" w:type="dxa"/>
            <w:vAlign w:val="center"/>
          </w:tcPr>
          <w:p>
            <w:pPr>
              <w:jc w:val="left"/>
              <w:rPr>
                <w:rFonts w:ascii="宋体" w:cs="宋体"/>
                <w:sz w:val="22"/>
              </w:rPr>
            </w:pPr>
            <w:r>
              <w:rPr>
                <w:rFonts w:ascii="宋体" w:cs="宋体"/>
                <w:sz w:val="22"/>
              </w:rPr>
              <w:t>2026年医疗器械（修订）条例。这些措施将修订适用于英国（GB）的2002年医疗器械法规。该修订旨在更新制造商在将其设备投放英国市场之前必须满足的上市前要求。这将有助于提高患者安全，通过简化的、基于风险的监管途径和国际依赖途径更快地获得医疗设备，并通过使法规现代化来支持创新，使其更接近国际最佳实践。主要变化包括：引入国际信赖计划，为某些医疗器械和体外诊断（IVD）器械提供更快的上市途径。一般医疗器械和IVD器械的分类变更，以实现更多风险相称的监管。增强医疗器械和IVD器械的安全性和性能要求，支持与国际监管方法更加一致。更全面的技术文件要求，包括更长的保留期。加强了对医疗器械声称与现有器械等效的要求。要求医疗器械和IVD器械强制使用唯一器械标识符以及植入式医疗器械的植入卡，提高了可追溯性、管理不良事件的能力和患者的透明度。监管关于医疗器械和IVD器械的误导性或未经证实的声明。扩大可以采用电子使用说明代替物理说明的情况。</w:t>
            </w:r>
          </w:p>
        </w:tc>
      </w:tr>
      <w:tr>
        <w:trPr>
          <w:trHeight w:val="75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193" w:type="dxa"/>
            <w:vAlign w:val="center"/>
          </w:tcPr>
          <w:p>
            <w:pPr>
              <w:jc w:val="left"/>
              <w:rPr>
                <w:rFonts w:ascii="宋体" w:cs="宋体"/>
                <w:sz w:val="22"/>
              </w:rPr>
            </w:pPr>
            <w:r>
              <w:rPr>
                <w:rFonts w:ascii="宋体" w:cs="宋体"/>
                <w:sz w:val="22"/>
              </w:rPr>
              <w:t>关于撤销活性物质美帕尼匹林在GB的批准的决定。根据第1107/2009号同化法规，得出结论认为应撤销活性物质美帕尼匹林的批准的决定文件。英国将撤销对含有甲哌啶的植物保护产品的授权。该决定仅涉及将该物质和含有该物质的植物保护产品投放市场。</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193" w:type="dxa"/>
            <w:vAlign w:val="center"/>
          </w:tcPr>
          <w:p>
            <w:pPr>
              <w:jc w:val="left"/>
              <w:rPr>
                <w:rFonts w:ascii="宋体" w:cs="宋体"/>
                <w:sz w:val="22"/>
              </w:rPr>
            </w:pPr>
            <w:r>
              <w:rPr>
                <w:rFonts w:ascii="宋体" w:cs="宋体" w:hint="eastAsia"/>
                <w:sz w:val="22"/>
              </w:rPr>
              <w:t>《2026年化学品（健康与安全）（修订、相应和过渡规定）条例》</w:t>
            </w:r>
            <w:r>
              <w:rPr>
                <w:rFonts w:ascii="宋体" w:cs="宋体"/>
                <w:sz w:val="22"/>
              </w:rPr>
              <w:t>。</w:t>
            </w:r>
            <w:r>
              <w:rPr>
                <w:rFonts w:ascii="宋体" w:cs="宋体" w:hint="eastAsia"/>
                <w:sz w:val="22"/>
              </w:rPr>
              <w:t>出于透明度的目的，英国通知成员对“针对英国修订的(EC)第1272/2008号同化法规”（英国分类、标签和包装法规或GB CLP法规）的拟议变更。拟议的变更旨在简化就英国危险化学物质强制分类和标签（GB MCL）做出决定的流程（第37条流程）。利益相关者无需采取任何行动，评估内容也不会发生变化。</w:t>
            </w:r>
          </w:p>
        </w:tc>
      </w:tr>
      <w:tr>
        <w:trPr>
          <w:trHeight w:val="1237"/>
        </w:trPr>
        <w:tc>
          <w:tcPr>
            <w:tcW w:w="1382" w:type="dxa"/>
            <w:vMerge w:val="restart"/>
            <w:tcBorders>
              <w:tl2br w:val="nil"/>
              <w:tr2bl w:val="nil"/>
            </w:tcBorders>
            <w:vAlign w:val="center"/>
          </w:tcPr>
          <w:p>
            <w:pPr>
              <w:pStyle w:val="370"/>
              <w:jc w:val="center"/>
            </w:pPr>
            <w:r>
              <w:t>越南</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193" w:type="dxa"/>
            <w:vAlign w:val="center"/>
          </w:tcPr>
          <w:p>
            <w:pPr>
              <w:jc w:val="left"/>
              <w:rPr>
                <w:rFonts w:ascii="宋体" w:cs="宋体"/>
                <w:sz w:val="22"/>
              </w:rPr>
            </w:pPr>
            <w:r>
              <w:rPr>
                <w:rFonts w:ascii="宋体" w:cs="宋体"/>
                <w:sz w:val="22"/>
              </w:rPr>
              <w:t>国家在用道路机动车定期检验技术法规草案。本技术法规草案规定了机动车检验的技术要求。具体来说，对于摩托车和轻便摩托车。该法规仅涵盖排放测试。本技术规程适用于从事机动车技术安全和环境保护检验以及参与道路交通的摩托车、轻便摩托车排放检测的机构、组织、个人。本技术规程不适用于机动车辆的技术安全环保检验或国防部、公安部管理的摩托车、轻便摩托车的排放检测。</w:t>
            </w:r>
          </w:p>
        </w:tc>
      </w:tr>
      <w:tr>
        <w:trPr>
          <w:trHeight w:val="94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76</w:t>
            </w:r>
          </w:p>
        </w:tc>
        <w:tc>
          <w:tcPr>
            <w:tcW w:w="12193" w:type="dxa"/>
            <w:vAlign w:val="center"/>
          </w:tcPr>
          <w:p>
            <w:pPr>
              <w:jc w:val="left"/>
              <w:rPr>
                <w:rFonts w:ascii="宋体" w:cs="宋体"/>
                <w:sz w:val="22"/>
              </w:rPr>
            </w:pPr>
            <w:r>
              <w:rPr>
                <w:rFonts w:ascii="宋体" w:cs="宋体"/>
                <w:sz w:val="22"/>
              </w:rPr>
              <w:t>起草《关于颁布工贸部国家管理责任中高风险产品和货物清单的通知》。该通告规范了工业和贸易部国家管理责任下的中高风险产品和货物清单。因此，中等风险产品和货物的清单包括07组，具体地：1)薄纸和卫生纸；2)化学品和含化学品产品；3)工业炸药；4)烈性炸药；5)工业爆炸配件；6)工业机械、设备和材料；7)爆炸物前体。</w:t>
            </w:r>
          </w:p>
        </w:tc>
      </w:tr>
      <w:tr>
        <w:trPr>
          <w:trHeight w:val="150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77</w:t>
            </w:r>
          </w:p>
        </w:tc>
        <w:tc>
          <w:tcPr>
            <w:tcW w:w="12193" w:type="dxa"/>
            <w:vAlign w:val="center"/>
          </w:tcPr>
          <w:p>
            <w:pPr>
              <w:jc w:val="left"/>
              <w:rPr>
                <w:rFonts w:ascii="宋体" w:cs="宋体"/>
                <w:sz w:val="22"/>
              </w:rPr>
            </w:pPr>
            <w:r>
              <w:rPr>
                <w:rFonts w:ascii="宋体" w:cs="宋体"/>
                <w:sz w:val="22"/>
              </w:rPr>
              <w:t>颁布内政部管理的中高风险产品和货物清单的通知草案。这份通告草案颁布了内政部国家管理责任的中高风险等级产品和货物清单以及清单上产品和货物的相应质量管理措施。中高风险等级产品和货物清单、相应的HS编码和适用的国家技术标准详见本通知草案附录。通知草案分为两类风险：中等风险和高风险。本通知草案适用于：生产、经营本通知规定的中高风险产品和货物清单的组织和个人。对属于本通知规定的中高风险等级产品和货物清单的产品和货物进行合格评定活动的合格评定机构。其他相关机构、组织和个人。</w:t>
            </w:r>
          </w:p>
        </w:tc>
      </w:tr>
      <w:tr>
        <w:trPr>
          <w:trHeight w:val="778"/>
        </w:trPr>
        <w:tc>
          <w:tcPr>
            <w:tcW w:w="1382" w:type="dxa"/>
            <w:tcBorders>
              <w:tl2br w:val="nil"/>
              <w:tr2bl w:val="nil"/>
            </w:tcBorders>
            <w:vAlign w:val="center"/>
          </w:tcPr>
          <w:p>
            <w:pPr>
              <w:pStyle w:val="226"/>
              <w:jc w:val="center"/>
            </w:pPr>
            <w:r>
              <w:t>智利</w:t>
            </w:r>
          </w:p>
        </w:tc>
        <w:tc>
          <w:tcPr>
            <w:tcW w:w="596" w:type="dxa"/>
            <w:tcBorders>
              <w:top w:val="single" w:sz="4" w:space="0" w:color="000000"/>
              <w:left w:val="single" w:sz="4" w:space="0" w:color="000000"/>
              <w:right w:val="single" w:sz="4" w:space="0" w:color="000000"/>
            </w:tcBorders>
            <w:vAlign w:val="center"/>
          </w:tcPr>
          <w:p>
            <w:pPr>
              <w:pStyle w:val="154"/>
              <w:jc w:val="center"/>
              <w:rPr>
                <w:rFonts w:ascii="宋体" w:cs="宋体" w:hAnsi="Times New Roman"/>
                <w:sz w:val="22"/>
              </w:rPr>
            </w:pPr>
            <w:r>
              <w:rPr>
                <w:rFonts w:ascii="宋体" w:cs="宋体" w:hAnsi="Times New Roman"/>
                <w:sz w:val="22"/>
              </w:rPr>
              <w:t>78</w:t>
            </w:r>
          </w:p>
        </w:tc>
        <w:tc>
          <w:tcPr>
            <w:tcW w:w="12193" w:type="dxa"/>
            <w:vAlign w:val="center"/>
          </w:tcPr>
          <w:p>
            <w:pPr>
              <w:rPr>
                <w:rFonts w:ascii="宋体" w:cs="宋体"/>
                <w:sz w:val="22"/>
              </w:rPr>
            </w:pPr>
            <w:r>
              <w:rPr>
                <w:rFonts w:ascii="宋体" w:cs="宋体"/>
                <w:sz w:val="22"/>
              </w:rPr>
              <w:t>制药用水：健康登记指南和口服抗生素要求。公共卫生研究所发布的指南规定了制药用水卫生注册的最新要求，并定义了口服抗生素的新要求。该文件旨在避免因家庭复溶不足而导致的中毒、污染和治疗效果失败的风险，要求任何新的口服粉末或颗粒抗生素注册申请将必要的溶剂作为组合注册。同样，它对不同类型的水进行了分类，并根据国家和国际法规详细说明了其质量标准和使用目的。</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6</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22</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96"/>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363">
    <w:name w:val="样式 218 10 磅"/>
    <w:pPr>
      <w:widowControl w:val="0"/>
      <w:jc w:val="both"/>
    </w:pPr>
    <w:rPr>
      <w:rFonts w:ascii="Calibri" w:eastAsia="宋体" w:cs="Calibri" w:hAnsi="Calibri"/>
      <w:kern w:val="2"/>
      <w:sz w:val="21"/>
      <w:szCs w:val="21"/>
      <w:lang w:val="en-US" w:eastAsia="zh-CN" w:bidi="ar-SA"/>
    </w:rPr>
  </w:style>
  <w:style w:type="paragraph" w:customStyle="1" w:styleId="364">
    <w:name w:val="样式 219 10 磅"/>
    <w:pPr>
      <w:widowControl w:val="0"/>
      <w:jc w:val="both"/>
    </w:pPr>
    <w:rPr>
      <w:rFonts w:ascii="Calibri" w:eastAsia="宋体" w:cs="Calibri" w:hAnsi="Calibri"/>
      <w:kern w:val="2"/>
      <w:sz w:val="21"/>
      <w:szCs w:val="21"/>
      <w:lang w:val="en-US" w:eastAsia="zh-CN" w:bidi="ar-SA"/>
    </w:rPr>
  </w:style>
  <w:style w:type="paragraph" w:customStyle="1" w:styleId="365">
    <w:name w:val="样式 220 10 磅"/>
    <w:pPr>
      <w:widowControl w:val="0"/>
      <w:jc w:val="both"/>
    </w:pPr>
    <w:rPr>
      <w:rFonts w:ascii="Calibri" w:eastAsia="宋体" w:cs="Calibri" w:hAnsi="Calibri"/>
      <w:kern w:val="2"/>
      <w:sz w:val="21"/>
      <w:szCs w:val="21"/>
      <w:lang w:val="en-US" w:eastAsia="zh-CN" w:bidi="ar-SA"/>
    </w:rPr>
  </w:style>
  <w:style w:type="paragraph" w:customStyle="1" w:styleId="366">
    <w:name w:val="样式 221 10 磅"/>
    <w:pPr>
      <w:widowControl w:val="0"/>
      <w:jc w:val="both"/>
    </w:pPr>
    <w:rPr>
      <w:rFonts w:ascii="Calibri" w:eastAsia="宋体" w:cs="Calibri" w:hAnsi="Calibri"/>
      <w:kern w:val="2"/>
      <w:sz w:val="21"/>
      <w:szCs w:val="21"/>
      <w:lang w:val="en-US" w:eastAsia="zh-CN" w:bidi="ar-SA"/>
    </w:rPr>
  </w:style>
  <w:style w:type="paragraph" w:customStyle="1" w:styleId="367">
    <w:name w:val="样式 222 10 磅"/>
    <w:pPr>
      <w:widowControl w:val="0"/>
      <w:jc w:val="both"/>
    </w:pPr>
    <w:rPr>
      <w:rFonts w:ascii="Calibri" w:eastAsia="宋体" w:cs="Calibri" w:hAnsi="Calibri"/>
      <w:kern w:val="2"/>
      <w:sz w:val="21"/>
      <w:szCs w:val="21"/>
      <w:lang w:val="en-US" w:eastAsia="zh-CN" w:bidi="ar-SA"/>
    </w:rPr>
  </w:style>
  <w:style w:type="paragraph" w:customStyle="1" w:styleId="368">
    <w:name w:val="样式 223 10 磅"/>
    <w:pPr>
      <w:widowControl w:val="0"/>
      <w:jc w:val="both"/>
    </w:pPr>
    <w:rPr>
      <w:rFonts w:ascii="Calibri" w:eastAsia="宋体" w:cs="Calibri" w:hAnsi="Calibri"/>
      <w:kern w:val="2"/>
      <w:sz w:val="21"/>
      <w:szCs w:val="21"/>
      <w:lang w:val="en-US" w:eastAsia="zh-CN" w:bidi="ar-SA"/>
    </w:rPr>
  </w:style>
  <w:style w:type="paragraph" w:customStyle="1" w:styleId="369">
    <w:name w:val="样式 224 10 磅"/>
    <w:pPr>
      <w:widowControl w:val="0"/>
      <w:jc w:val="both"/>
    </w:pPr>
    <w:rPr>
      <w:rFonts w:ascii="Calibri" w:eastAsia="宋体" w:cs="Calibri" w:hAnsi="Calibri"/>
      <w:kern w:val="2"/>
      <w:sz w:val="21"/>
      <w:szCs w:val="21"/>
      <w:lang w:val="en-US" w:eastAsia="zh-CN" w:bidi="ar-SA"/>
    </w:rPr>
  </w:style>
  <w:style w:type="paragraph" w:customStyle="1" w:styleId="370">
    <w:name w:val="样式 225 10 磅"/>
    <w:pPr>
      <w:widowControl w:val="0"/>
      <w:jc w:val="both"/>
    </w:pPr>
    <w:rPr>
      <w:rFonts w:ascii="Calibri" w:eastAsia="宋体" w:cs="Calibri" w:hAnsi="Calibri"/>
      <w:kern w:val="2"/>
      <w:sz w:val="21"/>
      <w:szCs w:val="21"/>
      <w:lang w:val="en-US" w:eastAsia="zh-CN" w:bidi="ar-SA"/>
    </w:rPr>
  </w:style>
  <w:style w:type="paragraph" w:customStyle="1" w:styleId="371">
    <w:name w:val="样式 226 10 磅"/>
    <w:pPr>
      <w:widowControl w:val="0"/>
      <w:jc w:val="both"/>
    </w:pPr>
    <w:rPr>
      <w:rFonts w:ascii="Calibri" w:eastAsia="宋体" w:cs="Calibri" w:hAnsi="Calibri"/>
      <w:kern w:val="2"/>
      <w:sz w:val="21"/>
      <w:szCs w:val="21"/>
      <w:lang w:val="en-US" w:eastAsia="zh-CN" w:bidi="ar-SA"/>
    </w:rPr>
  </w:style>
  <w:style w:type="paragraph" w:customStyle="1" w:styleId="372">
    <w:name w:val="样式 227 10 磅"/>
    <w:pPr>
      <w:widowControl w:val="0"/>
      <w:jc w:val="both"/>
    </w:pPr>
    <w:rPr>
      <w:rFonts w:ascii="Calibri" w:eastAsia="宋体" w:cs="Calibri" w:hAnsi="Calibri"/>
      <w:kern w:val="2"/>
      <w:sz w:val="21"/>
      <w:szCs w:val="21"/>
      <w:lang w:val="en-US" w:eastAsia="zh-CN" w:bidi="ar-SA"/>
    </w:rPr>
  </w:style>
  <w:style w:type="paragraph" w:customStyle="1" w:styleId="373">
    <w:name w:val="样式 228 10 磅"/>
    <w:pPr>
      <w:widowControl w:val="0"/>
      <w:jc w:val="both"/>
    </w:pPr>
    <w:rPr>
      <w:rFonts w:ascii="Calibri" w:eastAsia="宋体" w:cs="Calibri" w:hAnsi="Calibri"/>
      <w:kern w:val="2"/>
      <w:sz w:val="21"/>
      <w:szCs w:val="21"/>
      <w:lang w:val="en-US" w:eastAsia="zh-CN" w:bidi="ar-SA"/>
    </w:rPr>
  </w:style>
  <w:style w:type="paragraph" w:customStyle="1" w:styleId="374">
    <w:name w:val="样式 229 10 磅"/>
    <w:pPr>
      <w:widowControl w:val="0"/>
      <w:jc w:val="both"/>
    </w:pPr>
    <w:rPr>
      <w:rFonts w:ascii="Calibri" w:eastAsia="宋体" w:cs="Calibri" w:hAnsi="Calibri"/>
      <w:kern w:val="2"/>
      <w:sz w:val="21"/>
      <w:szCs w:val="21"/>
      <w:lang w:val="en-US" w:eastAsia="zh-CN" w:bidi="ar-SA"/>
    </w:rPr>
  </w:style>
  <w:style w:type="paragraph" w:customStyle="1" w:styleId="375">
    <w:name w:val="样式 230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CE4117C7-76EB-4C99-AA44-201B7AA9C3EE}">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1475</TotalTime>
  <Application>Yozo_Office27021597764231179</Application>
  <Pages>12</Pages>
  <Words>0</Words>
  <Characters>10137</Characters>
  <Lines>0</Lines>
  <Paragraphs>7</Paragraphs>
  <CharactersWithSpaces>13517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tingweiguo_gc</cp:lastModifiedBy>
  <cp:revision>5</cp:revision>
  <dcterms:created xsi:type="dcterms:W3CDTF">2024-01-26T03:30:00Z</dcterms:created>
  <dcterms:modified xsi:type="dcterms:W3CDTF">2026-06-22T06:25:10Z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