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utoSpaceDN w:val="0"/>
        <w:adjustRightInd w:val="0"/>
        <w:snapToGrid w:val="0"/>
        <w:spacing w:line="560" w:lineRule="exact"/>
        <w:ind w:firstLine="420"/>
        <w:jc w:val="center"/>
        <w:rPr>
          <w:rFonts w:ascii="方正小标宋_GBK" w:eastAsia="方正小标宋_GBK" w:cs="Times New Roman"/>
          <w:sz w:val="44"/>
          <w:szCs w:val="44"/>
        </w:rPr>
      </w:pPr>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202607</w:t>
      </w:r>
      <w:r>
        <w:rPr>
          <w:rFonts w:ascii="方正楷体_GBK" w:eastAsia="方正楷体_GBK" w:cs="方正楷体_GBK" w:hint="eastAsia"/>
          <w:sz w:val="32"/>
          <w:szCs w:val="32"/>
        </w:rPr>
        <w:t>期总第</w:t>
      </w:r>
      <w:r>
        <w:rPr>
          <w:rFonts w:ascii="方正楷体_GBK" w:eastAsia="方正楷体_GBK" w:cs="方正楷体_GBK"/>
          <w:sz w:val="32"/>
          <w:szCs w:val="32"/>
        </w:rPr>
        <w:t>74</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596"/>
        <w:gridCol w:w="12193"/>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596"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93"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376"/>
        </w:trPr>
        <w:tc>
          <w:tcPr>
            <w:tcW w:w="1382" w:type="dxa"/>
            <w:vMerge w:val="restart"/>
            <w:vAlign w:val="center"/>
          </w:tcPr>
          <w:p>
            <w:pPr>
              <w:pStyle w:val="26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93" w:type="dxa"/>
            <w:vAlign w:val="center"/>
          </w:tcPr>
          <w:p>
            <w:pPr>
              <w:jc w:val="left"/>
              <w:rPr>
                <w:rFonts w:ascii="宋体" w:cs="宋体" w:hint="eastAsia"/>
                <w:sz w:val="22"/>
              </w:rPr>
            </w:pPr>
            <w:r>
              <w:rPr>
                <w:rFonts w:ascii="宋体" w:cs="宋体"/>
                <w:sz w:val="22"/>
              </w:rPr>
              <w:t>监管指南草案：现场应急交流电源在生产和利用设施中的应用和测试。美国核管理委员会(NRC)正在为公众评议发布监管指南(DG)草案，DG-1477，“现场应急交流电源在生产和利用设施中的应用和测试”。该DG是监管指南（RG）1.9的拟议修订版5，具有新标题。RG的拟议修订提供了NRC工作人员认为可接受的指导，以符合NRC关于生产和利用设施中现场应急交流电源的规定。这些电源包括应急柴油发电机、燃气轮机发电机和其他类型的现场应急交流电源。</w:t>
            </w:r>
          </w:p>
        </w:tc>
      </w:tr>
      <w:tr>
        <w:trPr>
          <w:trHeight w:val="154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93" w:type="dxa"/>
            <w:vAlign w:val="center"/>
          </w:tcPr>
          <w:p>
            <w:pPr>
              <w:pStyle w:val="197"/>
              <w:jc w:val="left"/>
              <w:rPr>
                <w:rFonts w:ascii="宋体" w:cs="宋体" w:hint="eastAsia"/>
                <w:sz w:val="22"/>
              </w:rPr>
            </w:pPr>
            <w:r>
              <w:rPr>
                <w:rFonts w:ascii="宋体" w:cs="宋体"/>
                <w:sz w:val="22"/>
              </w:rPr>
              <w:t>管道安全：分接罐检查规则。泄压罐用于“缓解危险液体管道系统中的浪涌”或“接收和储存通过管道运输的危险液体，以便重新注入和通过管道继续运输”。美国石油协会标准653(API Std 653)为地上储罐的检查、维修、改造和重建制定了行业标准。管道和危险材料安全管理局(PHMSA)目前通过引用将API Std 653第3版（2001年12月发布）纳入其分接罐法规中。在本次规则制定中，PHMSA提议更新其分流罐法规，以引用方式纳入API Std 653第5版（2014年11月发布）。作为其中的一个关键部分，PHMSA提议授权使用基于风险的检查(RBI)程序来确定在役分接罐的检查间隔。</w:t>
            </w:r>
          </w:p>
        </w:tc>
      </w:tr>
      <w:tr>
        <w:trPr>
          <w:trHeight w:val="268"/>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93" w:type="dxa"/>
            <w:vAlign w:val="center"/>
          </w:tcPr>
          <w:p>
            <w:pPr>
              <w:pStyle w:val="198"/>
              <w:jc w:val="left"/>
              <w:rPr>
                <w:rFonts w:ascii="宋体" w:cs="宋体" w:hint="eastAsia"/>
                <w:sz w:val="22"/>
              </w:rPr>
            </w:pPr>
            <w:r>
              <w:rPr>
                <w:rFonts w:ascii="宋体" w:cs="宋体"/>
                <w:sz w:val="22"/>
              </w:rPr>
              <w:t>关于某些化学物质的重要新使用规则。环境保护署（EPA）正在根据《有毒物质控制法案》（TSCA）针对某些化学物质提出重要的新使用规则（SNURs），这些化学物质是制造前通知的主题，也受EPA根据TSCA发布的命令的约束。SNURs要求打算为本规则制定提出的重要新用途的活动制造（法规定义包括进口）或加工任何这些化学物质的人员在开始该活动前至少90天通知EPA。所需的通报启动EPA对该化学物质的使用条件的评估。此外，在EPA对所需的通报进行审查、对该通报做出适当决定并采取该决定要求的行动之前，重大新用途的制造或加工不得开始。</w:t>
            </w:r>
          </w:p>
        </w:tc>
      </w:tr>
      <w:tr>
        <w:trPr>
          <w:trHeight w:val="123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93" w:type="dxa"/>
            <w:vAlign w:val="center"/>
          </w:tcPr>
          <w:p>
            <w:pPr>
              <w:pStyle w:val="199"/>
              <w:jc w:val="left"/>
              <w:rPr>
                <w:rFonts w:ascii="宋体" w:cs="宋体" w:hint="eastAsia"/>
                <w:sz w:val="22"/>
              </w:rPr>
            </w:pPr>
            <w:r>
              <w:rPr>
                <w:rFonts w:ascii="宋体" w:cs="宋体"/>
                <w:sz w:val="22"/>
              </w:rPr>
              <w:t>监管指南：ASME OM-2规范的可接受性，核设施的部件测试要求。美国核管理委员会(NRC)正在发布监管指南(RG)1.220，修订版0，“ASME OM-2规范的可接受性，核设施部件测试要求”。这份新的RG以监管立场认可了美国机械工程师协会(ASME)运行和维护OM-2规范《核设施部件测试要求，2024年版》，并描述了NRC工作人员可接受的方法为所有类型的核设施开发和实施在役测试(IST)计划。本RG自《联邦公报》通知发布之日起生效，发布后有30天的评议期。</w:t>
            </w:r>
          </w:p>
        </w:tc>
      </w:tr>
      <w:tr>
        <w:trPr>
          <w:trHeight w:val="154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93" w:type="dxa"/>
            <w:vAlign w:val="center"/>
          </w:tcPr>
          <w:p>
            <w:pPr>
              <w:pStyle w:val="200"/>
              <w:jc w:val="left"/>
              <w:rPr>
                <w:rFonts w:ascii="宋体" w:cs="宋体" w:hint="eastAsia"/>
                <w:sz w:val="22"/>
              </w:rPr>
            </w:pPr>
            <w:r>
              <w:rPr>
                <w:rFonts w:ascii="宋体" w:cs="宋体"/>
                <w:sz w:val="22"/>
              </w:rPr>
              <w:t>关于某些化学物质的重要新使用规则（26-1）。国环境保护署（EPA）根据《有毒物质控制法》，针对某些已提交生产前通知（PMN）并同时受EPA依据TSCA发布的一项命令管辖的化学物质，提出重大新用途规则（SNUR）。该SNUR要求：凡拟就本规则制定中所提议的重大新用途，生产（按法定定义包括进口）或加工任何此类化学物质的人员，必须在开始该活动前至少90天通知EPA。所需通知将启动EPA对该化学物质在该用途条件下的评估。此外，在EPA对所需通知完成审查、就该项通知作出适当决定并按照该决定采取必要行动之前，不得开始为重大新用途进行生产或加工。</w:t>
            </w:r>
          </w:p>
        </w:tc>
      </w:tr>
      <w:tr>
        <w:trPr>
          <w:trHeight w:val="1523"/>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93" w:type="dxa"/>
            <w:vAlign w:val="center"/>
          </w:tcPr>
          <w:p>
            <w:pPr>
              <w:pStyle w:val="201"/>
              <w:jc w:val="left"/>
              <w:rPr>
                <w:rFonts w:ascii="宋体" w:cs="宋体"/>
                <w:sz w:val="22"/>
              </w:rPr>
            </w:pPr>
            <w:r>
              <w:rPr>
                <w:rFonts w:ascii="宋体" w:cs="宋体"/>
                <w:sz w:val="22"/>
              </w:rPr>
              <w:t>根据《有毒物质控制法》(TSCA)对4,4'-(1-甲基亚乙基)双[2,6-二溴苯酚](TBBPA)进行风险评估。环境保护署（EPA）宣布根据有毒物质控制法案（TSCA）对4,4’-（1-甲基亚乙基）双【2,6-二溴苯酚】（TBBPA）的风险评估草案的可用性并寻求公开评议。TSCA下风险评估的目的是确定一种化学物质在使用条件下是否对人类健康或环境构成不合理的伤害风险，包括对与EPA风险评估相关的潜在暴露或易感亚人群的不合理风险，并且不考虑成本或非风险因素。EPA正在就TBBPA的风险评估草案寻求评议。</w:t>
            </w:r>
          </w:p>
        </w:tc>
      </w:tr>
      <w:tr>
        <w:trPr>
          <w:trHeight w:val="186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93" w:type="dxa"/>
            <w:vAlign w:val="center"/>
          </w:tcPr>
          <w:p>
            <w:pPr>
              <w:jc w:val="left"/>
              <w:rPr>
                <w:rFonts w:ascii="宋体" w:cs="宋体"/>
                <w:sz w:val="22"/>
              </w:rPr>
            </w:pPr>
            <w:r>
              <w:rPr>
                <w:rFonts w:ascii="宋体" w:cs="宋体"/>
                <w:sz w:val="22"/>
              </w:rPr>
              <w:t>节能方案：配电变压器节能标准。2026年4月20日发布的一项总统决定认定，包括配电变压器和电工钢在内的电网基础设施供应链对国防至关重要，且美国工业因国内生产能力有限、采购周期延长以及对外国供应的依赖而面临严重制约。美国能源部（DOE）正在启动一项信息和数据收集工作，以了解2024年4月最终规则中通过的配电变压器节能标准（合规日期为2029年）如何与这些国家安全考量相互作用，包括对国内制造能力、供应链韧性以及关键材料的可用性和成本的影响。能源部同时也在寻求关于以下方面的信息：修订后的节能标准是否会导致特殊困难、不公平或不均衡的负担分配，包括与在2029年合规日期前重新设计设备以满足要求相关的投资需求和市场条件。</w:t>
            </w:r>
          </w:p>
        </w:tc>
      </w:tr>
      <w:tr>
        <w:trPr>
          <w:trHeight w:val="154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微移动产品中使用的锂离子电池和包含此类电池的微移动产品的电气系统的安全标准。美国消费品安全委员会发布本拟议规则制定通知，以解决微型移动产品中使用的锂离子电池因锂电芯热失控等危害而导致的死亡和受伤的不合理风险，这些危害可能导致火灾、爆炸、气体释放、灼伤、过热和烟雾吸入。该拟议规则提出，微型移动产品中使用锂离子电池的电气系统应符合适用的自愿性标准，并作相应修改。由于某些微型移动产品属于需要第三方检测的儿童产品，该拟议规则还提议将本规则添加到需要进行此类检测的规则清单中。</w:t>
            </w:r>
          </w:p>
        </w:tc>
      </w:tr>
      <w:tr>
        <w:trPr>
          <w:trHeight w:val="1366"/>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93" w:type="dxa"/>
            <w:vAlign w:val="center"/>
          </w:tcPr>
          <w:p>
            <w:pPr>
              <w:pStyle w:val="204"/>
              <w:jc w:val="left"/>
              <w:rPr>
                <w:rFonts w:ascii="宋体" w:cs="宋体"/>
                <w:sz w:val="22"/>
              </w:rPr>
            </w:pPr>
            <w:r>
              <w:rPr>
                <w:rFonts w:ascii="宋体" w:cs="宋体"/>
                <w:sz w:val="22"/>
              </w:rPr>
              <w:t>美国国家公路交通安全管理局提议修订联邦机动车辆安全标准第135号“轻型车辆制动系统”。拟议的修改将区分法规如何适用于有和没有手动操作驾驶控制装置的车辆。拟议的修改将澄清标准中的定义、泄密要求、性能要求和测试程序，并删除不再相关的部分。停车距离性能要求解决了标准的主要安全目的，仍将适用于所有相关车辆。这种规则的制定将消除不必要的监管负担和成本，而不会损害车辆安全。</w:t>
            </w:r>
          </w:p>
        </w:tc>
      </w:tr>
      <w:tr>
        <w:trPr>
          <w:trHeight w:val="1926"/>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93" w:type="dxa"/>
            <w:vAlign w:val="center"/>
          </w:tcPr>
          <w:p>
            <w:pPr>
              <w:pStyle w:val="205"/>
              <w:jc w:val="left"/>
              <w:rPr>
                <w:rFonts w:ascii="宋体" w:cs="宋体" w:hint="eastAsia"/>
                <w:sz w:val="22"/>
              </w:rPr>
            </w:pPr>
            <w:r>
              <w:rPr>
                <w:rFonts w:ascii="宋体" w:cs="宋体"/>
                <w:sz w:val="22"/>
              </w:rPr>
              <w:t>关于联邦法规第49编第569部分、第571.110、第571.120及第574部分的机动车轮胎和轮辋合规与标签。关于对先前批准的信息收集进行修改后重新启动的申请的通知及征求意见——美国国家公路交通安全管理局（NHTSA）邀请公众就我们拟向管理和预算办公室（OMB）提交的、对先前批准的信息收集进行修改后重新启动的审批申请提出意见。联邦机构在向公众收集某些信息之前，必须获得OMB的批准。根据1995年《文书工作削减法》规定的程序，在寻求OMB批准之前，联邦机构必须就拟议的信息收集活动（包括对先前批准的信息收集的延期和重新启动）征求公众意见。本文件描述了NHTSA拟寻求OMB批准的信息收集内容，并就轮胎标识和记录保存要求的继续实施，以及该机构对信息收集负担估算的准确性征求公众意见。</w:t>
            </w:r>
          </w:p>
        </w:tc>
      </w:tr>
      <w:tr>
        <w:trPr>
          <w:trHeight w:val="160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93" w:type="dxa"/>
            <w:vAlign w:val="center"/>
          </w:tcPr>
          <w:p>
            <w:pPr>
              <w:jc w:val="left"/>
              <w:rPr>
                <w:rFonts w:ascii="宋体" w:cs="宋体" w:hAnsi="宋体" w:hint="eastAsia"/>
                <w:sz w:val="22"/>
              </w:rPr>
            </w:pPr>
            <w:r>
              <w:rPr>
                <w:rFonts w:ascii="宋体" w:cs="宋体"/>
                <w:sz w:val="22"/>
              </w:rPr>
              <w:t>运输机和推进认证现代化。美国联邦航空管理局（FAA）提议修订多项适航法规，以使运输类飞机和推进系统的部分认证标准现代化。该规则将减少认证过程中所需的豁免、特别条件和等效安全水平判定，从而既放松监管又减轻负担。FAA预计，该提案将在保持或提高现行法规所提供安全水平的同时，降低行业和FAA自身的认证成本并缩短新产品和改型产品的认证时间。FAA还提议从第25部分中删除特别联邦航空条例第109号，并将其部分要求移至其他位置。最后，此项行动将回应行业和国家运输安全委员会的建议，同时使FAA的法规与国际标准保持一致。</w:t>
            </w:r>
          </w:p>
        </w:tc>
      </w:tr>
      <w:tr>
        <w:trPr>
          <w:trHeight w:val="1591"/>
        </w:trPr>
        <w:tc>
          <w:tcPr>
            <w:tcW w:w="1382" w:type="dxa"/>
            <w:vMerge w:val="restart"/>
            <w:tcBorders>
              <w:tl2br w:val="nil"/>
              <w:tr2bl w:val="nil"/>
            </w:tcBorders>
            <w:vAlign w:val="center"/>
          </w:tcPr>
          <w:p>
            <w:pPr>
              <w:pStyle w:val="263"/>
              <w:widowControl/>
              <w:jc w:val="center"/>
              <w:textAlignment w:val="center"/>
              <w:rPr>
                <w:rFonts w:ascii="Times New Roman" w:cs="Times New Roman" w:hAnsi="Times New Roman"/>
                <w:color w:val="000000"/>
                <w:sz w:val="24"/>
                <w:szCs w:val="24"/>
              </w:rPr>
            </w:pPr>
            <w:r>
              <w:t>埃及</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93" w:type="dxa"/>
            <w:vAlign w:val="center"/>
          </w:tcPr>
          <w:p>
            <w:pPr>
              <w:jc w:val="left"/>
              <w:rPr>
                <w:rFonts w:ascii="宋体" w:cs="宋体"/>
                <w:sz w:val="22"/>
              </w:rPr>
            </w:pPr>
            <w:r>
              <w:rPr>
                <w:rFonts w:ascii="宋体" w:cs="宋体"/>
                <w:sz w:val="22"/>
              </w:rPr>
              <w:t>埃及标准《一次性使用无菌引流导管及附属装置》草案。该标准草案规定了无菌一次性引流导管、伤口和积液引流系统、外科引流导管及其组件的要求，其中导管通过手术或经皮放置在体腔或伤口中，用于将液体或空气引流到外部。引流导管自然引流或连接到抽吸源以更快地组织肉芽。本标准草案不适用于：a)吸引导管；b)气管导管；c)导尿管；注见ISO 20696；d)输尿管支架、胆管支架和其他支架；e)用胃造口术经皮放置在消化道中的引流导管；f)用于移除脑脊液的神经轴导管；g)用于从胃肠道移除溶液或物质的肠导管；h)涂料。值得一提的是，本标准草案采用了ISO 20697：2018的技术内容。</w:t>
            </w:r>
          </w:p>
        </w:tc>
      </w:tr>
      <w:tr>
        <w:trPr>
          <w:trHeight w:val="117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93" w:type="dxa"/>
            <w:vAlign w:val="center"/>
          </w:tcPr>
          <w:p>
            <w:pPr>
              <w:jc w:val="left"/>
              <w:rPr>
                <w:rFonts w:ascii="宋体" w:cs="宋体"/>
                <w:sz w:val="22"/>
              </w:rPr>
            </w:pPr>
            <w:r>
              <w:rPr>
                <w:rFonts w:ascii="宋体" w:cs="宋体"/>
                <w:sz w:val="22"/>
              </w:rPr>
              <w:t>埃及“外用非无菌超声凝胶”标准草案。该标准草案规定了非无菌超声凝胶的要求，这些非无菌超声凝胶仅用于常规、低风险检查，或在检查部位或检查部位24小时内的潜在手术之前，前提是其仅适用于完整的皮肤。它不适用于直接接触粘膜（例如，经直肠或经阴道检查）、内部组织检查、开放性伤口、未感染皮肤、危重新生儿、免疫功能低下患者、接受免疫抑制治疗的患者、重症监护室和其他需要高水平无菌的危急情况。值得一提的是，该标准草案符合DARS 2057：2026医用超声凝胶规范。</w:t>
            </w:r>
          </w:p>
        </w:tc>
      </w:tr>
      <w:tr>
        <w:trPr>
          <w:trHeight w:val="85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93" w:type="dxa"/>
            <w:vAlign w:val="center"/>
          </w:tcPr>
          <w:p>
            <w:pPr>
              <w:pStyle w:val="103"/>
              <w:jc w:val="left"/>
              <w:rPr>
                <w:rFonts w:ascii="宋体" w:cs="宋体"/>
                <w:sz w:val="22"/>
              </w:rPr>
            </w:pPr>
            <w:r>
              <w:rPr>
                <w:rFonts w:ascii="宋体" w:cs="宋体"/>
                <w:sz w:val="22"/>
              </w:rPr>
              <w:t>埃及标准ES 512-2草案“气体和液氧第2部分：医用氧气”。该标准草案规定了压缩氧气和液氧（通过空气液化及其他方式生产）的要求，这些氧气用于：1/1 医院、诊所和家庭护理中的普通医疗用途；1/2 航空应用及高空呼吸用途，包括驾驶舱供氧系统和应急供氧系统。值得一提的是，本标准草案符合压缩气体协会CGA G-4.3:2018《氧气商品规格》第8版。</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93" w:type="dxa"/>
            <w:vAlign w:val="center"/>
          </w:tcPr>
          <w:p>
            <w:pPr>
              <w:jc w:val="left"/>
              <w:rPr>
                <w:rFonts w:ascii="宋体" w:cs="宋体" w:hAnsi="宋体" w:hint="eastAsia"/>
                <w:sz w:val="22"/>
              </w:rPr>
            </w:pPr>
            <w:r>
              <w:rPr>
                <w:rFonts w:ascii="宋体" w:cs="宋体"/>
                <w:sz w:val="22"/>
              </w:rPr>
              <w:t>埃及标准草案“血液净化体外系统第2部分：血液透析器、血液透析滤器、血液滤器和血液浓缩器的体外血液和液体回路”。该埃及标准草案规定了与血液透析设备结合使用的一次性体外血液和液体回路及附件的要求，血液透析设备用于体外血液治疗疗法，如但不限于血液透析、血液透析滤过、血液滤过。本标准草案不适用于：血液透析器、血液透析滤器或血液滤器；血浆过滤器；血液灌注装置；血管通路器械。值得一提的是，本标准草案采用了ISO 8637-2:2024的技术内容</w:t>
            </w:r>
          </w:p>
        </w:tc>
      </w:tr>
      <w:tr>
        <w:trPr>
          <w:trHeight w:val="776"/>
        </w:trPr>
        <w:tc>
          <w:tcPr>
            <w:tcW w:w="1382" w:type="dxa"/>
            <w:tcBorders>
              <w:tl2br w:val="nil"/>
              <w:tr2bl w:val="nil"/>
            </w:tcBorders>
            <w:vAlign w:val="center"/>
          </w:tcPr>
          <w:p>
            <w:pPr>
              <w:pStyle w:val="241"/>
              <w:jc w:val="center"/>
            </w:pPr>
            <w:r>
              <w:t>俄罗斯</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93" w:type="dxa"/>
            <w:vAlign w:val="center"/>
          </w:tcPr>
          <w:p>
            <w:pPr>
              <w:jc w:val="left"/>
              <w:rPr>
                <w:rFonts w:ascii="宋体" w:cs="宋体" w:hAnsi="宋体" w:hint="eastAsia"/>
                <w:sz w:val="22"/>
              </w:rPr>
            </w:pPr>
            <w:r>
              <w:rPr>
                <w:rFonts w:ascii="宋体" w:cs="宋体" w:hAnsi="宋体"/>
                <w:sz w:val="22"/>
              </w:rPr>
              <w:t>《医疗器械安全质量有效性注册和审查规则》修订草案。《医疗器械安全性、质量和有效性注册和检验规则》修订草案规定，如果医疗器械上市许可申请中没有有效的检验结果报告，可以暂停上市许可的有效性，以防止质量差的医疗产品进入流通。</w:t>
            </w:r>
          </w:p>
        </w:tc>
      </w:tr>
      <w:tr>
        <w:trPr>
          <w:trHeight w:val="1861"/>
        </w:trPr>
        <w:tc>
          <w:tcPr>
            <w:tcW w:w="1382" w:type="dxa"/>
            <w:vMerge w:val="restart"/>
            <w:tcBorders>
              <w:tl2br w:val="nil"/>
              <w:tr2bl w:val="nil"/>
            </w:tcBorders>
            <w:vAlign w:val="center"/>
          </w:tcPr>
          <w:p>
            <w:pPr>
              <w:pStyle w:val="264"/>
              <w:jc w:val="center"/>
            </w:pPr>
            <w:r>
              <w:t>法国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93" w:type="dxa"/>
            <w:vAlign w:val="center"/>
          </w:tcPr>
          <w:p>
            <w:pPr>
              <w:jc w:val="left"/>
              <w:rPr>
                <w:rFonts w:ascii="宋体" w:cs="宋体" w:hAnsi="宋体" w:hint="eastAsia"/>
                <w:sz w:val="22"/>
              </w:rPr>
            </w:pPr>
            <w:r>
              <w:rPr>
                <w:rFonts w:ascii="宋体" w:cs="宋体" w:hAnsi="宋体" w:hint="eastAsia"/>
                <w:sz w:val="22"/>
              </w:rPr>
              <w:t>修订某些肥料中镉的最大含量以及使用肥料时该污染物的最大允许摄入量的命令</w:t>
            </w:r>
            <w:r>
              <w:rPr>
                <w:rFonts w:ascii="宋体" w:cs="宋体" w:hAnsi="宋体"/>
                <w:sz w:val="22"/>
              </w:rPr>
              <w:t>。</w:t>
            </w:r>
            <w:r>
              <w:rPr>
                <w:rFonts w:ascii="宋体" w:cs="宋体" w:hAnsi="宋体" w:hint="eastAsia"/>
                <w:sz w:val="22"/>
              </w:rPr>
              <w:t>该法令修改了两项</w:t>
            </w:r>
            <w:r>
              <w:rPr>
                <w:rFonts w:ascii="宋体" w:cs="宋体" w:hAnsi="宋体"/>
                <w:sz w:val="22"/>
              </w:rPr>
              <w:t>内容</w:t>
            </w:r>
            <w:r>
              <w:rPr>
                <w:rFonts w:ascii="宋体" w:cs="宋体" w:hAnsi="宋体" w:hint="eastAsia"/>
                <w:sz w:val="22"/>
              </w:rPr>
              <w:t>，一方面规定了降低某些肥料和栽培介质中镉最高容许含量的时间表，另一方面规定了肥料使用过程中镉的最高容许添加量。该法令适用于根据L.255-2至L. 255-4条以及L.255-5条第1°、3°和5°项规定条件投放市场和使用的肥料及栽培介质。该法令不适用于根据L. 255-5条第2°项规定条件投放市场和使用的肥料及栽培介质，该条款对应的是符合欧盟第2019/1009号法规的肥料。被修改的两项法令为：关于肥料和栽培介质无害性判定标准及废弃物属性退出判定标准与评估方式的法令；关于肥料使用过程中金属微量元素和有机微量化合物最高容许添加量的法令。</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93" w:type="dxa"/>
            <w:vAlign w:val="center"/>
          </w:tcPr>
          <w:p>
            <w:pPr>
              <w:jc w:val="left"/>
              <w:rPr>
                <w:rFonts w:ascii="宋体" w:cs="宋体" w:hint="eastAsia"/>
                <w:sz w:val="22"/>
              </w:rPr>
            </w:pPr>
            <w:r>
              <w:rPr>
                <w:rFonts w:ascii="宋体" w:cs="宋体"/>
                <w:sz w:val="22"/>
              </w:rPr>
              <w:t>修订2013年12月27日关于向公众销售和提供某些使用紫外线辐射的设备的第2013-1261号法令的法令草案。根据2016年1月26日第2016-41号《医疗系统现代化法》第21条制定的本法令草案，规定了几项与在向公众提供人工晒黑服务的场所中更好地告知使用者相关的措施，加强对这些商业场所内晒黑设备的检查，对违规行为实施处罚（罚款），并禁止销售或转让（UV1和UV3型）晒黑设备用于非专业用途。</w:t>
            </w:r>
          </w:p>
        </w:tc>
      </w:tr>
      <w:tr>
        <w:trPr>
          <w:trHeight w:val="718"/>
        </w:trPr>
        <w:tc>
          <w:tcPr>
            <w:tcW w:w="1382" w:type="dxa"/>
            <w:tcBorders>
              <w:tl2br w:val="nil"/>
              <w:tr2bl w:val="nil"/>
            </w:tcBorders>
            <w:vAlign w:val="center"/>
          </w:tcPr>
          <w:p>
            <w:pPr>
              <w:pStyle w:val="241"/>
              <w:jc w:val="center"/>
            </w:pPr>
            <w:r>
              <w:t>菲律宾</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93" w:type="dxa"/>
            <w:vAlign w:val="center"/>
          </w:tcPr>
          <w:p>
            <w:pPr>
              <w:jc w:val="left"/>
              <w:rPr>
                <w:rFonts w:ascii="宋体" w:cs="宋体" w:hint="eastAsia"/>
                <w:sz w:val="22"/>
              </w:rPr>
            </w:pPr>
            <w:r>
              <w:rPr>
                <w:rFonts w:ascii="宋体" w:cs="宋体"/>
                <w:sz w:val="22"/>
              </w:rPr>
              <w:t>为家庭/城市有害物质产品的便利化注册途径采用分阶段实施框架。拟议的发行旨在为家庭/城市有害物质产品注册提供进一步的监管灵活性，特别是为便利化注册途径建立分阶段实施框架。</w:t>
            </w:r>
          </w:p>
        </w:tc>
      </w:tr>
      <w:tr>
        <w:trPr>
          <w:trHeight w:val="265"/>
        </w:trPr>
        <w:tc>
          <w:tcPr>
            <w:tcW w:w="1382" w:type="dxa"/>
            <w:tcBorders>
              <w:tl2br w:val="nil"/>
              <w:tr2bl w:val="nil"/>
            </w:tcBorders>
            <w:vAlign w:val="center"/>
          </w:tcPr>
          <w:p>
            <w:pPr>
              <w:pStyle w:val="241"/>
              <w:jc w:val="center"/>
            </w:pPr>
            <w:r>
              <w:t>哥伦比亚</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93" w:type="dxa"/>
            <w:vAlign w:val="center"/>
          </w:tcPr>
          <w:p>
            <w:pPr>
              <w:pStyle w:val="107"/>
              <w:jc w:val="left"/>
              <w:rPr>
                <w:rFonts w:ascii="宋体" w:cs="宋体" w:hAnsi="宋体" w:hint="eastAsia"/>
                <w:sz w:val="22"/>
              </w:rPr>
            </w:pPr>
            <w:r>
              <w:rPr>
                <w:rFonts w:ascii="宋体" w:cs="宋体" w:hAnsi="宋体" w:hint="eastAsia"/>
                <w:sz w:val="22"/>
              </w:rPr>
              <w:t>决议草案“禁止进口、生产、注册、销售和使用含有对兽医学至关重要的抗菌药物的药品，并发布了在国家领土上销售其他兽用抗菌药物的有关标签的规定”。该措施旨在禁止进口、生产、注册、销售和使用含有对兽医至关重要的抗菌药物的药品，并规定在国家领土上销售其他兽用抗菌药物的标签规定。它还规定了仅用于治疗目的的膦酸、第三代和第四代头孢菌素以及氟喹诺酮类抗菌剂的标签和使用。</w:t>
            </w:r>
          </w:p>
        </w:tc>
      </w:tr>
      <w:tr>
        <w:trPr>
          <w:trHeight w:val="882"/>
        </w:trPr>
        <w:tc>
          <w:tcPr>
            <w:tcW w:w="1382" w:type="dxa"/>
            <w:vMerge w:val="restart"/>
            <w:tcBorders>
              <w:tl2br w:val="nil"/>
              <w:tr2bl w:val="nil"/>
            </w:tcBorders>
            <w:vAlign w:val="center"/>
          </w:tcPr>
          <w:p>
            <w:pPr>
              <w:pStyle w:val="265"/>
              <w:jc w:val="center"/>
              <w:textAlignment w:val="center"/>
            </w:pPr>
            <w:r>
              <w:t>韩国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93" w:type="dxa"/>
            <w:vAlign w:val="center"/>
          </w:tcPr>
          <w:p>
            <w:pPr>
              <w:jc w:val="left"/>
              <w:rPr>
                <w:rFonts w:ascii="宋体" w:cs="宋体" w:hAnsi="宋体" w:hint="eastAsia"/>
                <w:sz w:val="22"/>
              </w:rPr>
            </w:pPr>
            <w:r>
              <w:rPr>
                <w:rFonts w:ascii="宋体" w:cs="宋体" w:hAnsi="宋体"/>
                <w:sz w:val="22"/>
              </w:rPr>
              <w:t>拟修订《化妆品及成分作为过敏原使用注意事项标示规定》。韩国食品医药品安全处正在对《化妆品使用注意事项及致敏成分标注规定》进行如下修订：1）增加一项例外条款，允许非即洗型洗发水（如干洗发产品）省略部分注意事项标注；2）新增关于二苯酮-3（氧苯酮）的使用注意事项。</w:t>
            </w:r>
          </w:p>
        </w:tc>
      </w:tr>
      <w:tr>
        <w:trPr>
          <w:trHeight w:val="65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93" w:type="dxa"/>
            <w:vAlign w:val="center"/>
          </w:tcPr>
          <w:p>
            <w:pPr>
              <w:jc w:val="left"/>
              <w:rPr>
                <w:rFonts w:ascii="宋体" w:cs="宋体"/>
                <w:sz w:val="22"/>
              </w:rPr>
            </w:pPr>
            <w:r>
              <w:rPr>
                <w:rFonts w:ascii="宋体" w:cs="宋体" w:hint="eastAsia"/>
                <w:sz w:val="22"/>
              </w:rPr>
              <w:t>对“食品标签和广告法执行令”的拟议修正案</w:t>
            </w:r>
            <w:r>
              <w:rPr>
                <w:rFonts w:ascii="宋体" w:cs="宋体"/>
                <w:sz w:val="22"/>
              </w:rPr>
              <w:t>。</w:t>
            </w:r>
            <w:r>
              <w:rPr>
                <w:rFonts w:ascii="宋体" w:cs="宋体" w:hint="eastAsia"/>
                <w:sz w:val="22"/>
              </w:rPr>
              <w:t>修正建议如下：禁止标示及广告使用依“药事法”第三十一条及第四十二条许可或公告之医药产品名称（包括产品名称或草药处方名称）或类似名称。</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93" w:type="dxa"/>
            <w:vAlign w:val="center"/>
          </w:tcPr>
          <w:p>
            <w:pPr>
              <w:jc w:val="left"/>
              <w:rPr>
                <w:rFonts w:ascii="宋体" w:cs="宋体" w:hAnsi="宋体"/>
                <w:sz w:val="22"/>
              </w:rPr>
            </w:pPr>
            <w:r>
              <w:rPr>
                <w:rFonts w:ascii="宋体" w:cs="宋体" w:hAnsi="宋体" w:hint="eastAsia"/>
                <w:sz w:val="22"/>
              </w:rPr>
              <w:t>拟制定《体外诊断医疗器械性能评价标准与方法规定》</w:t>
            </w:r>
            <w:r>
              <w:rPr>
                <w:rFonts w:ascii="宋体" w:cs="宋体" w:hAnsi="宋体"/>
                <w:sz w:val="22"/>
              </w:rPr>
              <w:t>。</w:t>
            </w:r>
            <w:r>
              <w:rPr>
                <w:rFonts w:ascii="宋体" w:cs="宋体" w:hAnsi="宋体" w:hint="eastAsia"/>
                <w:sz w:val="22"/>
              </w:rPr>
              <w:t>韩国食品药品安全部拟制定“体外诊断医疗器械性能评估标准与方法规定”，以提供性能评估制度实施所需的详细事项，并依“体外诊断医疗器械法”第17条之3及“体外诊断医疗器械法实施细则”第38条之2授权，包括以下内容：为本法规中用于体外诊断医疗器械性能评价的术语提供定义。通过应用医疗器械法第19条规定的标准和规范、韩国工业标准、ISO/IEC等国际标准以及体外诊断医疗器械许可或认证时制定的测试规范，建立性能评估的标准和方法。规定适用绩效评价标准和方法的评价项目。</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93" w:type="dxa"/>
            <w:vAlign w:val="center"/>
          </w:tcPr>
          <w:p>
            <w:pPr>
              <w:jc w:val="left"/>
              <w:rPr>
                <w:rFonts w:ascii="宋体" w:cs="宋体" w:hAnsi="宋体" w:hint="eastAsia"/>
                <w:sz w:val="22"/>
              </w:rPr>
            </w:pPr>
            <w:r>
              <w:rPr>
                <w:rFonts w:ascii="宋体" w:cs="宋体" w:hAnsi="宋体" w:hint="eastAsia"/>
                <w:sz w:val="22"/>
              </w:rPr>
              <w:t>对食品不公平标签和广告标准的拟议修订”</w:t>
            </w:r>
            <w:r>
              <w:rPr>
                <w:rFonts w:ascii="宋体" w:cs="宋体" w:hAnsi="宋体"/>
                <w:sz w:val="22"/>
              </w:rPr>
              <w:t>。</w:t>
            </w:r>
            <w:r>
              <w:rPr>
                <w:rFonts w:ascii="宋体" w:cs="宋体" w:hAnsi="宋体" w:hint="eastAsia"/>
                <w:sz w:val="22"/>
              </w:rPr>
              <w:t>食品药品安全部希望修改《食品不公平标签和广告标准》中的以下声明。修订的要点如下：禁止药品的产品名称或类似名称的标签和广告</w:t>
            </w:r>
            <w:r>
              <w:rPr>
                <w:rFonts w:ascii="宋体" w:cs="宋体" w:hAnsi="宋体"/>
                <w:sz w:val="22"/>
              </w:rPr>
              <w:t>。</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93" w:type="dxa"/>
            <w:vAlign w:val="center"/>
          </w:tcPr>
          <w:p>
            <w:pPr>
              <w:jc w:val="left"/>
              <w:rPr>
                <w:rFonts w:ascii="宋体" w:cs="宋体" w:hAnsi="宋体" w:hint="eastAsia"/>
                <w:sz w:val="22"/>
              </w:rPr>
            </w:pPr>
            <w:r>
              <w:rPr>
                <w:rFonts w:ascii="宋体" w:cs="宋体" w:hAnsi="宋体" w:hint="eastAsia"/>
                <w:sz w:val="22"/>
              </w:rPr>
              <w:t>建议修订《药品等安全条例》</w:t>
            </w:r>
            <w:r>
              <w:rPr>
                <w:rFonts w:ascii="宋体" w:cs="宋体" w:hAnsi="宋体"/>
                <w:sz w:val="22"/>
              </w:rPr>
              <w:t>。</w:t>
            </w:r>
            <w:r>
              <w:rPr>
                <w:rFonts w:ascii="宋体" w:cs="宋体" w:hAnsi="宋体" w:hint="eastAsia"/>
                <w:sz w:val="22"/>
              </w:rPr>
              <w:t>食品药品安全部正在对《药品安全法规等》进行如下修订：放宽原料药变更的报告要求（第17条）对于批量变更，允许以报告而非注册方式处理原料药（API）变更的门槛已从“10倍及以上”放宽至“超过10倍”。 简化包装标签要求容器和包装上关于“活性成分规格”的标签要求已被删除。加强国家基本药物的供应链管理已明确即使未被指定为国家基本药物，因需求暂时激增而需稳定供应的药品范围。制定韩国天然产品安全管理和研究所的运营规则。已根据《药事法》规定的总理令，制定了天然产品安全管理和研究收取费用及实际开支的程序。确保法律法规之间的一致性相关条款已根据《药事法》和《药品安全法规等》的修订进行了重组。</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93" w:type="dxa"/>
            <w:vAlign w:val="center"/>
          </w:tcPr>
          <w:p>
            <w:pPr>
              <w:pStyle w:val="210"/>
              <w:jc w:val="left"/>
              <w:rPr>
                <w:rFonts w:ascii="宋体" w:cs="宋体" w:hAnsi="宋体" w:hint="eastAsia"/>
                <w:sz w:val="22"/>
              </w:rPr>
            </w:pPr>
            <w:r>
              <w:rPr>
                <w:rFonts w:ascii="宋体" w:cs="宋体" w:hAnsi="宋体" w:hint="eastAsia"/>
                <w:sz w:val="22"/>
              </w:rPr>
              <w:t>《卫生用品标准规范》修订建议</w:t>
            </w:r>
            <w:r>
              <w:rPr>
                <w:rFonts w:ascii="宋体" w:cs="宋体" w:hAnsi="宋体"/>
                <w:sz w:val="22"/>
              </w:rPr>
              <w:t>。</w:t>
            </w:r>
            <w:r>
              <w:rPr>
                <w:rFonts w:ascii="宋体" w:cs="宋体" w:hAnsi="宋体" w:hint="eastAsia"/>
                <w:sz w:val="22"/>
              </w:rPr>
              <w:t>食品药品安全部拟对“卫生用品标准规范”进行如下修改：“纹身墨水”的测试方法-测试方法名称：42。纹身墨水中的限制物质（危险元素）-测试方法内容：增加了当没有耐HF的样品注射器时使用5%硼酸中和氢氟酸（HF）的测试程序。</w:t>
            </w:r>
          </w:p>
        </w:tc>
      </w:tr>
      <w:tr>
        <w:trPr>
          <w:trHeight w:val="63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93" w:type="dxa"/>
            <w:vAlign w:val="center"/>
          </w:tcPr>
          <w:p>
            <w:pPr>
              <w:pStyle w:val="211"/>
              <w:jc w:val="left"/>
              <w:rPr>
                <w:rFonts w:ascii="宋体" w:cs="宋体" w:hint="eastAsia"/>
                <w:sz w:val="22"/>
              </w:rPr>
            </w:pPr>
            <w:r>
              <w:rPr>
                <w:rFonts w:ascii="宋体" w:cs="宋体" w:hint="eastAsia"/>
                <w:sz w:val="22"/>
              </w:rPr>
              <w:t>建议修订“食物标签标准”</w:t>
            </w:r>
            <w:r>
              <w:rPr>
                <w:rFonts w:ascii="宋体" w:cs="宋体"/>
                <w:sz w:val="22"/>
              </w:rPr>
              <w:t>。</w:t>
            </w:r>
            <w:r>
              <w:rPr>
                <w:rFonts w:ascii="宋体" w:cs="宋体" w:hint="eastAsia"/>
                <w:sz w:val="22"/>
              </w:rPr>
              <w:t>韩国食品药品安全部拟对《食品标签标准》中的以下声明进行修订。修订要点如下：1）规定片剂或胶囊形态食品的消费者信息标签要求；2）反映鸡蛋养殖环境编号标签相关法规的修订。</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93" w:type="dxa"/>
            <w:vAlign w:val="center"/>
          </w:tcPr>
          <w:p>
            <w:pPr>
              <w:pStyle w:val="213"/>
              <w:jc w:val="left"/>
              <w:rPr>
                <w:rFonts w:ascii="宋体" w:cs="宋体" w:hAnsi="宋体" w:hint="eastAsia"/>
                <w:sz w:val="22"/>
              </w:rPr>
            </w:pPr>
            <w:r>
              <w:rPr>
                <w:rFonts w:ascii="宋体" w:cs="宋体" w:hAnsi="宋体"/>
                <w:sz w:val="22"/>
              </w:rPr>
              <w:t>《沿海和近海渔业可持续发展法》。《沿海及近海渔业可持续发展法》旨在防止非法捕捞等方式生产的渔产品进入国内市场，并建立合法生产渔产品的流通秩序。该法为特定进口渔产品引入捕捞证书提交与核实程序提供了法律依据，该制度的目的和基本方向已事先与WTO成员方共享。具体操作标准，如适用渔产品范围、需提交的文件、核实机构及核实程序等，将在制定下位法规和公告的过程中，结合与相关主管部门的协商、业界意见及国际社会反馈予以明确。待下位法规和公告制定完成后，韩国计划再次提交WTO《技术性贸易壁垒协定》通报。</w:t>
            </w:r>
          </w:p>
        </w:tc>
      </w:tr>
      <w:tr>
        <w:trPr>
          <w:trHeight w:val="197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93" w:type="dxa"/>
            <w:vAlign w:val="center"/>
          </w:tcPr>
          <w:p>
            <w:pPr>
              <w:pStyle w:val="215"/>
              <w:jc w:val="left"/>
              <w:rPr>
                <w:rFonts w:ascii="宋体" w:cs="宋体" w:hAnsi="宋体" w:hint="eastAsia"/>
                <w:sz w:val="22"/>
              </w:rPr>
            </w:pPr>
            <w:r>
              <w:rPr>
                <w:rFonts w:ascii="宋体" w:cs="宋体" w:hAnsi="宋体" w:hint="eastAsia"/>
                <w:sz w:val="22"/>
              </w:rPr>
              <w:t>部分修订《药品审批、通报和审评条例》</w:t>
            </w:r>
            <w:r>
              <w:rPr>
                <w:rFonts w:ascii="宋体" w:cs="宋体" w:hAnsi="宋体"/>
                <w:sz w:val="22"/>
              </w:rPr>
              <w:t>。</w:t>
            </w:r>
            <w:r>
              <w:rPr>
                <w:rFonts w:ascii="宋体" w:cs="宋体" w:hAnsi="宋体" w:hint="eastAsia"/>
                <w:sz w:val="22"/>
              </w:rPr>
              <w:t>韩国食品医药品安全部拟修订《药品审批、通报及审查规定》的下列条款：A.如仅变更韩国药典或食品医药品安全部部长通报的其他官方汇编中注册的“一般试验方法”名称，则该变更将被视为已获批准或已通报。B.将为医用高压气体的稳定性数据设立法律依据，允许以先前已获批或已通报产品的使用证据予以替代。C.风险管理计划（RMP）相关条款将与上位法的修订保持一致。D.活性成分多种规格的适用资格将扩大至已提交质量相关数据的孤儿药。E.当获得相同给药途径的非处方药新剂型批准时，将通过明确与已获批/已通报剂型之间存在微小差异的具体情形，来澄清适用简化数据要求的资格。</w:t>
            </w:r>
          </w:p>
        </w:tc>
      </w:tr>
      <w:tr>
        <w:trPr>
          <w:trHeight w:val="701"/>
        </w:trPr>
        <w:tc>
          <w:tcPr>
            <w:tcW w:w="1382" w:type="dxa"/>
            <w:vMerge w:val="restart"/>
            <w:tcBorders>
              <w:tl2br w:val="nil"/>
              <w:tr2bl w:val="nil"/>
            </w:tcBorders>
            <w:vAlign w:val="center"/>
          </w:tcPr>
          <w:p>
            <w:pPr>
              <w:pStyle w:val="269"/>
              <w:jc w:val="center"/>
            </w:pPr>
            <w:r>
              <w:t>加拿大</w:t>
            </w:r>
          </w:p>
        </w:tc>
        <w:tc>
          <w:tcPr>
            <w:tcW w:w="596"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93" w:type="dxa"/>
            <w:vAlign w:val="center"/>
          </w:tcPr>
          <w:p>
            <w:pPr>
              <w:pStyle w:val="89"/>
              <w:jc w:val="left"/>
              <w:rPr>
                <w:rFonts w:ascii="宋体" w:cs="宋体" w:hAnsi="宋体"/>
                <w:sz w:val="22"/>
              </w:rPr>
            </w:pPr>
            <w:r>
              <w:rPr>
                <w:rFonts w:ascii="宋体" w:cs="宋体" w:hAnsi="宋体"/>
                <w:sz w:val="22"/>
              </w:rPr>
              <w:t>更新技术标准文件：技术标准文件(TSD)208。加拿大交通部提议更新机动车辆安全法规中引用的技术标准文件(TSD)208，该文件涉及安全气囊抑制和低风险展开测试中使用的儿童约束系统以及安全带提醒要求。</w:t>
            </w:r>
          </w:p>
        </w:tc>
      </w:tr>
      <w:tr>
        <w:trPr>
          <w:trHeight w:val="60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93" w:type="dxa"/>
            <w:vAlign w:val="center"/>
          </w:tcPr>
          <w:p>
            <w:pPr>
              <w:jc w:val="left"/>
              <w:rPr>
                <w:rFonts w:ascii="宋体" w:cs="宋体" w:hAnsi="宋体"/>
                <w:sz w:val="22"/>
              </w:rPr>
            </w:pPr>
            <w:r>
              <w:rPr>
                <w:rFonts w:ascii="宋体" w:cs="宋体" w:hAnsi="宋体"/>
                <w:sz w:val="22"/>
              </w:rPr>
              <w:t>修订能源效率法规的法规，2016年。《2016年能源效率条例》规定了住宅、商业和工业用能产品的能源效率和测试标准。它们还规定了某些产品的标签要求，以披露和比较给定产品型号相对于其类别中其他产品型号的能源使用情况。该法规定期修订，以引入或更新能源效率和测试标准。该拟议修正案将：将新产品引入法规，并对能效标准、测试标准、验证、标签和信息提供提出相关要求；扩大范围，引入或更新一些目前受监管产品的能效和测试标准；通过包括早期合规选项，允许受监管方更早自愿遵守新要求；并通过按功能对类似产品进行分组和撤销过时标准等行动支持贸易、监管实施和减轻负担。</w:t>
            </w:r>
          </w:p>
        </w:tc>
      </w:tr>
      <w:tr>
        <w:trPr>
          <w:trHeight w:val="160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93" w:type="dxa"/>
            <w:vAlign w:val="center"/>
          </w:tcPr>
          <w:p>
            <w:pPr>
              <w:pStyle w:val="168"/>
              <w:jc w:val="left"/>
              <w:rPr>
                <w:rFonts w:ascii="宋体" w:cs="宋体" w:hAnsi="宋体"/>
                <w:sz w:val="22"/>
              </w:rPr>
            </w:pPr>
            <w:r>
              <w:rPr>
                <w:rFonts w:ascii="宋体" w:cs="宋体" w:hAnsi="宋体" w:hint="eastAsia"/>
                <w:sz w:val="22"/>
              </w:rPr>
              <w:t>提议修改食品微生物学标准和食品微生物学参考方法的表格，并发布新的指导文件。加拿大卫生部对食品的微生物标准进行了全面审查。审查考虑了当前的科学证据、监测和流行病学数据、风险评估、以前有针对性的咨询结果、食品和药物法规B部分现代化期间收到的意见以及国际比较。拟议标准被认为是行业可以实现的，并且实施起来是现实的。本文件的目的是公开宣布加拿大卫生部在这方面的意图，并为那些希望提交与拟议修改相关的意见、咨询或新科学信息的人提供适当的联系信息。</w:t>
            </w:r>
          </w:p>
        </w:tc>
      </w:tr>
      <w:tr>
        <w:trPr>
          <w:trHeight w:val="925"/>
        </w:trPr>
        <w:tc>
          <w:tcPr>
            <w:tcW w:w="1382" w:type="dxa"/>
            <w:tcBorders>
              <w:tl2br w:val="nil"/>
              <w:tr2bl w:val="nil"/>
            </w:tcBorders>
            <w:vAlign w:val="center"/>
          </w:tcPr>
          <w:p>
            <w:pPr>
              <w:pStyle w:val="93"/>
              <w:jc w:val="center"/>
            </w:pPr>
            <w:r>
              <w:t>科摩罗</w:t>
            </w:r>
          </w:p>
        </w:tc>
        <w:tc>
          <w:tcPr>
            <w:tcW w:w="596"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93" w:type="dxa"/>
            <w:vAlign w:val="center"/>
          </w:tcPr>
          <w:p>
            <w:pPr>
              <w:pStyle w:val="92"/>
              <w:jc w:val="left"/>
              <w:rPr>
                <w:rFonts w:ascii="宋体" w:cs="宋体" w:hAnsi="宋体"/>
                <w:sz w:val="22"/>
              </w:rPr>
            </w:pPr>
            <w:r>
              <w:rPr>
                <w:rFonts w:ascii="宋体" w:cs="宋体" w:hAnsi="宋体" w:hint="eastAsia"/>
                <w:sz w:val="22"/>
              </w:rPr>
              <w:t>关于规定不可生物降解塑料袋和包装特别许可授予条件的第7号法令草案</w:t>
            </w:r>
            <w:r>
              <w:rPr>
                <w:rFonts w:ascii="宋体" w:cs="宋体" w:hAnsi="宋体"/>
                <w:sz w:val="22"/>
              </w:rPr>
              <w:t>。</w:t>
            </w:r>
            <w:r>
              <w:rPr>
                <w:rFonts w:ascii="宋体" w:cs="宋体" w:hAnsi="宋体" w:hint="eastAsia"/>
                <w:sz w:val="22"/>
              </w:rPr>
              <w:t>本法令旨在依据2017年6月6日关于在科摩罗联盟禁止生产、进口、销售和分销不可生物降解塑料包装和塑料袋的第17-011/AU号法律第13条，规定对直接用于卫生、科学研究和实验活动或用于国家安全和安保措施的不可生物降解包装和塑料袋的生产、进口、销售或分销授予特别许可的条件。</w:t>
            </w:r>
          </w:p>
        </w:tc>
      </w:tr>
      <w:tr>
        <w:trPr>
          <w:trHeight w:val="613"/>
        </w:trPr>
        <w:tc>
          <w:tcPr>
            <w:tcW w:w="1382" w:type="dxa"/>
            <w:vMerge w:val="restart"/>
            <w:tcBorders>
              <w:tl2br w:val="nil"/>
              <w:tr2bl w:val="nil"/>
            </w:tcBorders>
            <w:vAlign w:val="center"/>
          </w:tcPr>
          <w:p>
            <w:pPr>
              <w:pStyle w:val="270"/>
              <w:jc w:val="center"/>
            </w:pPr>
            <w:r>
              <w:t>肯尼亚</w:t>
            </w:r>
          </w:p>
        </w:tc>
        <w:tc>
          <w:tcPr>
            <w:tcW w:w="596"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93" w:type="dxa"/>
            <w:vAlign w:val="center"/>
          </w:tcPr>
          <w:p>
            <w:pPr>
              <w:jc w:val="left"/>
              <w:rPr>
                <w:rFonts w:ascii="宋体" w:cs="宋体" w:hAnsi="宋体"/>
                <w:sz w:val="22"/>
              </w:rPr>
            </w:pPr>
            <w:r>
              <w:rPr>
                <w:rFonts w:ascii="宋体" w:cs="宋体" w:hAnsi="宋体"/>
                <w:sz w:val="22"/>
              </w:rPr>
              <w:t>DEAS 1357：2026，食用酪蛋白产品规范。该标准草案规定了用于直接供人食用或进一步加工的食用酸性酪蛋白、食用凝乳酶酪蛋白和食用酪蛋白酸盐的要求、取样和测试方法。</w:t>
            </w:r>
          </w:p>
        </w:tc>
      </w:tr>
      <w:tr>
        <w:trPr>
          <w:trHeight w:val="53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93" w:type="dxa"/>
            <w:vAlign w:val="center"/>
          </w:tcPr>
          <w:p>
            <w:pPr>
              <w:pStyle w:val="62"/>
              <w:jc w:val="left"/>
              <w:rPr>
                <w:rFonts w:ascii="宋体" w:cs="宋体" w:hAnsi="宋体"/>
                <w:sz w:val="22"/>
              </w:rPr>
            </w:pPr>
            <w:r>
              <w:rPr>
                <w:rFonts w:ascii="宋体" w:cs="宋体" w:hAnsi="宋体"/>
                <w:sz w:val="22"/>
              </w:rPr>
              <w:t>DEAS 847-5:20 25，化妆品分析方法第5部分：不皂化物的测定，第二版。本标准草案规定了化妆品工业用油脂中不皂化物测定的试验方法。</w:t>
            </w:r>
          </w:p>
        </w:tc>
      </w:tr>
      <w:tr>
        <w:trPr>
          <w:trHeight w:val="39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93" w:type="dxa"/>
            <w:vAlign w:val="center"/>
          </w:tcPr>
          <w:p>
            <w:pPr>
              <w:pStyle w:val="63"/>
              <w:jc w:val="left"/>
              <w:rPr>
                <w:rFonts w:ascii="宋体" w:cs="宋体"/>
                <w:sz w:val="22"/>
              </w:rPr>
            </w:pPr>
            <w:r>
              <w:rPr>
                <w:rFonts w:ascii="宋体" w:cs="宋体"/>
                <w:sz w:val="22"/>
              </w:rPr>
              <w:t>DEAS 1356：2026，卡乔塔奶酪规范。本标准草案规定了供直接食用或进一步加工的卡乔塔奶酪的要求、取样和检测方法。</w:t>
            </w:r>
          </w:p>
        </w:tc>
      </w:tr>
      <w:tr>
        <w:trPr>
          <w:trHeight w:val="699"/>
        </w:trPr>
        <w:tc>
          <w:tcPr>
            <w:tcW w:w="1382" w:type="dxa"/>
            <w:vMerge w:val="restart"/>
            <w:tcBorders>
              <w:tl2br w:val="nil"/>
              <w:tr2bl w:val="nil"/>
            </w:tcBorders>
            <w:vAlign w:val="center"/>
          </w:tcPr>
          <w:p>
            <w:pPr>
              <w:pStyle w:val="245"/>
              <w:jc w:val="center"/>
              <w:textAlignment w:val="center"/>
            </w:pPr>
            <w:r>
              <w:t>墨西哥</w:t>
            </w:r>
          </w:p>
        </w:tc>
        <w:tc>
          <w:tcPr>
            <w:tcW w:w="596"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93" w:type="dxa"/>
            <w:vAlign w:val="center"/>
          </w:tcPr>
          <w:p>
            <w:pPr>
              <w:jc w:val="left"/>
              <w:rPr>
                <w:rFonts w:ascii="宋体" w:cs="宋体"/>
                <w:sz w:val="22"/>
              </w:rPr>
            </w:pPr>
            <w:r>
              <w:rPr>
                <w:rFonts w:ascii="宋体" w:cs="宋体"/>
                <w:sz w:val="22"/>
              </w:rPr>
              <w:t>墨西哥官方标准草案PROY-NOM-035-NUCL-2026《含有放射性物质或受放射性物质污染的材料的分配标准》的公众咨询通知。 该草案旨在规定申请发放含有放射性物质或受放射性物质污染的材料的条件、标准、价值和要求。</w:t>
            </w:r>
          </w:p>
        </w:tc>
      </w:tr>
      <w:tr>
        <w:trPr>
          <w:trHeight w:val="35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93" w:type="dxa"/>
            <w:vAlign w:val="center"/>
          </w:tcPr>
          <w:p>
            <w:pPr>
              <w:jc w:val="left"/>
              <w:rPr>
                <w:rFonts w:ascii="宋体" w:cs="宋体"/>
                <w:sz w:val="22"/>
              </w:rPr>
            </w:pPr>
            <w:r>
              <w:rPr>
                <w:rFonts w:ascii="宋体" w:cs="宋体"/>
                <w:sz w:val="22"/>
              </w:rPr>
              <w:t>墨西哥官方标准草案PROY-NOM-041-NUCL-2025、年度掺入限制和释放浓度的公众咨询通知。该项目旨在确定职业暴露人员的年度摄入限值和受控区域的空气衍生浓度，以遵守《一般辐射安全条例》中规定的剂量限制制度。同样，确定放射性物质残留量的排放限制；以及制定放射性流出物释放到环境中的标准，以控制公众的剂量。</w:t>
            </w:r>
          </w:p>
        </w:tc>
      </w:tr>
      <w:tr>
        <w:trPr>
          <w:trHeight w:val="338"/>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93" w:type="dxa"/>
            <w:vAlign w:val="center"/>
          </w:tcPr>
          <w:p>
            <w:pPr>
              <w:jc w:val="left"/>
              <w:rPr>
                <w:rFonts w:ascii="宋体" w:cs="宋体"/>
                <w:sz w:val="22"/>
              </w:rPr>
            </w:pPr>
            <w:r>
              <w:rPr>
                <w:rFonts w:ascii="宋体" w:cs="宋体"/>
                <w:sz w:val="22"/>
              </w:rPr>
              <w:t>墨西哥官方标准草案PROY-NOM-004-NUCL-2025《放射性废物分类》公众咨询通知。该项目旨在制定基于放射性特性的标准，将放射性废物分为拟议条例中描述的五类之一。（a）极短半衰期放射性废物；（b）极低放射性废物；（c）低放射性废物；（d）中放射性废物；（e）高放射性废物。</w:t>
            </w:r>
          </w:p>
        </w:tc>
      </w:tr>
      <w:tr>
        <w:trPr>
          <w:trHeight w:val="7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93" w:type="dxa"/>
            <w:vAlign w:val="center"/>
          </w:tcPr>
          <w:p>
            <w:pPr>
              <w:jc w:val="left"/>
              <w:rPr>
                <w:rFonts w:ascii="宋体" w:cs="宋体"/>
                <w:sz w:val="22"/>
              </w:rPr>
            </w:pPr>
            <w:r>
              <w:rPr>
                <w:rFonts w:ascii="宋体" w:cs="宋体"/>
                <w:sz w:val="22"/>
              </w:rPr>
              <w:t>墨西哥霍乱监测、预防、控制、管理和治疗官方标准草案。该项目旨在为在国家卫生系统提供服务的公共、社会和私营部门机构的卫生人员制定与霍乱监测、预防、控制、管理和治疗有关的活动的标准和规范。</w:t>
            </w:r>
          </w:p>
        </w:tc>
      </w:tr>
      <w:tr>
        <w:trPr>
          <w:trHeight w:val="63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93" w:type="dxa"/>
            <w:vAlign w:val="center"/>
          </w:tcPr>
          <w:p>
            <w:pPr>
              <w:jc w:val="left"/>
              <w:rPr>
                <w:rFonts w:ascii="宋体" w:cs="宋体"/>
                <w:sz w:val="22"/>
              </w:rPr>
            </w:pPr>
            <w:r>
              <w:rPr>
                <w:rFonts w:ascii="宋体" w:cs="宋体"/>
                <w:sz w:val="22"/>
              </w:rPr>
              <w:t>风扇能效和安全要求。适用于吊扇、壁扇、落地扇、地面扇或台扇，称为低压三合一，由最高140伏交流电供电，其叶片直径在10厘米至214厘米之间（含），且在墨西哥合众国境内制造、进口或销售。</w:t>
            </w:r>
          </w:p>
        </w:tc>
      </w:tr>
      <w:tr>
        <w:trPr>
          <w:trHeight w:val="701"/>
        </w:trPr>
        <w:tc>
          <w:tcPr>
            <w:tcW w:w="1382" w:type="dxa"/>
            <w:tcBorders>
              <w:tl2br w:val="nil"/>
              <w:tr2bl w:val="nil"/>
            </w:tcBorders>
            <w:vAlign w:val="center"/>
          </w:tcPr>
          <w:p>
            <w:pPr>
              <w:pStyle w:val="234"/>
              <w:jc w:val="center"/>
              <w:textAlignment w:val="center"/>
            </w:pPr>
            <w:r>
              <w:t>南非</w:t>
            </w:r>
          </w:p>
        </w:tc>
        <w:tc>
          <w:tcPr>
            <w:tcW w:w="596"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93" w:type="dxa"/>
            <w:vAlign w:val="center"/>
          </w:tcPr>
          <w:p>
            <w:pPr>
              <w:jc w:val="left"/>
              <w:rPr>
                <w:rFonts w:ascii="宋体" w:cs="宋体"/>
                <w:sz w:val="22"/>
              </w:rPr>
            </w:pPr>
            <w:r>
              <w:rPr>
                <w:rFonts w:ascii="宋体" w:cs="宋体"/>
                <w:sz w:val="22"/>
              </w:rPr>
              <w:t>关于拟在南非共和国销售的乳制品和乳制品相关产品的分类、包装和标记的条例。拟议的修订法规为乳制品和仿制乳制品的分类设定了最低质量标准，规定了这些产品在销售时的标签要求，并建立了确保符合最低质量标准的监管体系。该法规还包含对容器、标识标记、检验和取样方法的要求。</w:t>
            </w:r>
          </w:p>
        </w:tc>
      </w:tr>
      <w:tr>
        <w:trPr>
          <w:trHeight w:val="1549"/>
        </w:trPr>
        <w:tc>
          <w:tcPr>
            <w:tcW w:w="1382" w:type="dxa"/>
            <w:vMerge w:val="restart"/>
            <w:tcBorders>
              <w:tl2br w:val="nil"/>
              <w:tr2bl w:val="nil"/>
            </w:tcBorders>
            <w:vAlign w:val="center"/>
          </w:tcPr>
          <w:p>
            <w:pPr>
              <w:pStyle w:val="246"/>
              <w:jc w:val="center"/>
              <w:textAlignment w:val="center"/>
            </w:pPr>
            <w:r>
              <w:t>欧盟</w:t>
            </w:r>
          </w:p>
        </w:tc>
        <w:tc>
          <w:tcPr>
            <w:tcW w:w="596"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93" w:type="dxa"/>
            <w:vAlign w:val="center"/>
          </w:tcPr>
          <w:p>
            <w:pPr>
              <w:jc w:val="left"/>
              <w:rPr>
                <w:rFonts w:ascii="宋体" w:cs="宋体"/>
                <w:sz w:val="22"/>
              </w:rPr>
            </w:pPr>
            <w:r>
              <w:rPr>
                <w:rFonts w:ascii="宋体" w:cs="宋体" w:hint="eastAsia"/>
                <w:sz w:val="22"/>
              </w:rPr>
              <w:t>欧洲议会和理事会关于欧盟空间活动的安全、复原力和可持续性的条例立法提案草案（以下简称“欧盟空间法”）</w:t>
            </w:r>
            <w:r>
              <w:rPr>
                <w:rFonts w:ascii="宋体" w:cs="宋体"/>
                <w:sz w:val="22"/>
              </w:rPr>
              <w:t>。</w:t>
            </w:r>
            <w:r>
              <w:rPr>
                <w:rFonts w:ascii="宋体" w:cs="宋体" w:hint="eastAsia"/>
                <w:sz w:val="22"/>
              </w:rPr>
              <w:t>《欧盟空间法》的立法提案旨在通过协调在欧盟提供空间服务和数据时与空间活动的安全性、复原力和环境可持续性有关的关键要求，为欧盟空间活动内部市场奠定基础，同时提高欧洲空间业的竞争力。该立法提案将通过为欧盟所有空间运营商创造一个稳定、清晰和可预测的商业环境，实现监管简化和法律清晰，从而为欧盟和第三国空间运营商和天基数据提供商创造一个公平的竞争环境。</w:t>
            </w:r>
          </w:p>
        </w:tc>
      </w:tr>
      <w:tr>
        <w:trPr>
          <w:trHeight w:val="99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93" w:type="dxa"/>
            <w:vAlign w:val="center"/>
          </w:tcPr>
          <w:p>
            <w:pPr>
              <w:jc w:val="left"/>
              <w:rPr>
                <w:rFonts w:ascii="宋体" w:cs="宋体"/>
                <w:sz w:val="22"/>
              </w:rPr>
            </w:pPr>
            <w:r>
              <w:rPr>
                <w:rFonts w:ascii="宋体" w:cs="宋体"/>
                <w:sz w:val="22"/>
              </w:rPr>
              <w:t>欧盟委员会关于能够由使用非有源天线系统的空中终端站提供电子通信服务的地面系统使用协调频段的协调条件的执行决定草案。为满足欧盟全境对空中终端站安全超视距运行日益增长的需求，主要面向不同行业（如农业、运输、管道巡检和搜救任务）的专业用途，基于最先进的移动通信技术，同时促进创新和频谱的有效利用，并支持内部市场的发展。</w:t>
            </w:r>
          </w:p>
        </w:tc>
      </w:tr>
      <w:tr>
        <w:trPr>
          <w:trHeight w:val="26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93" w:type="dxa"/>
            <w:vAlign w:val="center"/>
          </w:tcPr>
          <w:p>
            <w:pPr>
              <w:jc w:val="left"/>
              <w:rPr>
                <w:rFonts w:ascii="宋体" w:cs="宋体"/>
                <w:sz w:val="22"/>
              </w:rPr>
            </w:pPr>
            <w:r>
              <w:rPr>
                <w:rFonts w:ascii="宋体" w:cs="宋体" w:hint="eastAsia"/>
                <w:sz w:val="22"/>
              </w:rPr>
              <w:t>委员会2026年5月28日(EU)2026/1151号实施条例，涉及更新授权肌醇作为食品用有鳍鱼、观赏有鳍鱼、食品用甲壳类动物和观赏甲壳类动物饲料添加剂，并废除(EU)1249/2014号实施条例（与欧洲经济区相关的文本）。该法案涵盖的物质被授权作为饲料添加剂，用于生产食品用有鳍鱼、观赏有鳍鱼、生产食品用甲壳类动物和观赏甲壳类动物，属于添加剂类别“营养添加剂”和功能组“维生素、维生素原和具有类似效果的明确化学定义的物质”，为期10年。根据(EC)1831/2003号法规第14条，提交了该物质的授权延期申请。根据欧洲食品安全局（EFSA）对申请人提交的档案进行的科学评估得出的有利结论，在该法案附件详述的某些条件下，延长了该物质作为食品用有鳍鱼、观赏性有鳍鱼、食品用甲壳类动物和观赏类甲壳类动物饲料添加剂的授权。</w:t>
            </w:r>
          </w:p>
        </w:tc>
      </w:tr>
      <w:tr>
        <w:trPr>
          <w:trHeight w:val="700"/>
        </w:trPr>
        <w:tc>
          <w:tcPr>
            <w:tcW w:w="1382" w:type="dxa"/>
            <w:vMerge w:val="restart"/>
            <w:tcBorders>
              <w:tl2br w:val="nil"/>
              <w:tr2bl w:val="nil"/>
            </w:tcBorders>
            <w:vAlign w:val="center"/>
          </w:tcPr>
          <w:p>
            <w:pPr>
              <w:pStyle w:val="272"/>
              <w:jc w:val="center"/>
              <w:textAlignment w:val="center"/>
            </w:pPr>
            <w:r>
              <w:t>日本</w:t>
            </w:r>
          </w:p>
        </w:tc>
        <w:tc>
          <w:tcPr>
            <w:tcW w:w="596"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93" w:type="dxa"/>
            <w:vAlign w:val="center"/>
          </w:tcPr>
          <w:p>
            <w:pPr>
              <w:jc w:val="left"/>
              <w:rPr>
                <w:rFonts w:ascii="宋体" w:cs="宋体"/>
                <w:sz w:val="22"/>
              </w:rPr>
            </w:pPr>
            <w:r>
              <w:rPr>
                <w:rFonts w:ascii="宋体" w:cs="宋体"/>
                <w:sz w:val="22"/>
              </w:rPr>
              <w:t>根据《确保包括药品和医疗器械在内的产品的质量、功效和安全性法案》，指定Shitei Yakubutsu（指定物质）。关于将3种物质追加指定为《法案》所规定的指定药物（Shitei Yakubutsu）及其正当用途的提案。</w:t>
            </w:r>
          </w:p>
        </w:tc>
      </w:tr>
      <w:tr>
        <w:trPr>
          <w:trHeight w:val="79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93" w:type="dxa"/>
            <w:vAlign w:val="center"/>
          </w:tcPr>
          <w:p>
            <w:pPr>
              <w:jc w:val="left"/>
              <w:rPr>
                <w:rFonts w:ascii="宋体" w:cs="宋体"/>
                <w:sz w:val="22"/>
              </w:rPr>
            </w:pPr>
            <w:r>
              <w:rPr>
                <w:rFonts w:ascii="宋体" w:cs="宋体"/>
                <w:sz w:val="22"/>
              </w:rPr>
              <w:t>对《无线电法实施条例》等进行部分修正。日本拟修改《无线电法施行规则》等相关法规，为用于移动业务的非静止轨道卫星通信系统（该系统在700MHz频段利用卫星星座）中的用户终端无线电设备制定技术要求。</w:t>
            </w:r>
          </w:p>
        </w:tc>
      </w:tr>
      <w:tr>
        <w:trPr>
          <w:trHeight w:val="65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93" w:type="dxa"/>
            <w:vAlign w:val="center"/>
          </w:tcPr>
          <w:p>
            <w:pPr>
              <w:rPr>
                <w:rFonts w:ascii="宋体" w:cs="宋体" w:hint="eastAsia"/>
                <w:sz w:val="22"/>
              </w:rPr>
            </w:pPr>
            <w:r>
              <w:rPr>
                <w:rFonts w:ascii="宋体" w:cs="宋体"/>
                <w:sz w:val="22"/>
              </w:rPr>
              <w:t>根据《外来入侵物种法》修订受管制的生物体清单。将Lepomis属的所有物种、Lepomis属的所有物种的杂交生物、Maccullochella peelii、Macquaria ambigua、Coreoperca属的所有物种（不包括C.kawamebari）指定为外来入侵物种（IAS）。</w:t>
            </w:r>
          </w:p>
        </w:tc>
      </w:tr>
      <w:tr>
        <w:trPr>
          <w:trHeight w:val="241"/>
        </w:trPr>
        <w:tc>
          <w:tcPr>
            <w:tcW w:w="1382" w:type="dxa"/>
            <w:tcBorders>
              <w:tl2br w:val="nil"/>
              <w:tr2bl w:val="nil"/>
            </w:tcBorders>
            <w:vAlign w:val="center"/>
          </w:tcPr>
          <w:p>
            <w:pPr>
              <w:pStyle w:val="246"/>
              <w:jc w:val="center"/>
              <w:textAlignment w:val="center"/>
            </w:pPr>
            <w:r>
              <w:t>瑞士</w:t>
            </w:r>
          </w:p>
        </w:tc>
        <w:tc>
          <w:tcPr>
            <w:tcW w:w="596"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93" w:type="dxa"/>
            <w:vAlign w:val="center"/>
          </w:tcPr>
          <w:p>
            <w:pPr>
              <w:pStyle w:val="173"/>
              <w:rPr>
                <w:rFonts w:ascii="宋体" w:cs="宋体"/>
                <w:sz w:val="22"/>
              </w:rPr>
            </w:pPr>
            <w:r>
              <w:rPr>
                <w:rFonts w:ascii="宋体" w:cs="宋体"/>
                <w:sz w:val="22"/>
              </w:rPr>
              <w:t>修订FOAG关于农业和园艺植物检疫措施的条例。本通知涉及对现行法规的修订，该法规明确了《植物保护特别危险有害生物条例》的相关规定，旨在保持与欧洲植物健康立法的一致性，符合瑞士与欧盟之间农产品贸易双边协议（农业协议）的要求。主要变化如下：延长豁免从埃及进口供人食用的马铃薯的禁令；扩大对柑桔叶螨Van der Aa的措施；草地贪夜蛾措施的扩展；根除和防止日本罂粟传播的措施；从暂时禁止进口的高风险商品清单中豁免几种商品。对于一些商品，规定了额外的进口要求。</w:t>
            </w:r>
          </w:p>
        </w:tc>
      </w:tr>
      <w:tr>
        <w:trPr>
          <w:trHeight w:val="613"/>
        </w:trPr>
        <w:tc>
          <w:tcPr>
            <w:tcW w:w="1382" w:type="dxa"/>
            <w:vMerge w:val="restart"/>
            <w:tcBorders>
              <w:tl2br w:val="nil"/>
              <w:tr2bl w:val="nil"/>
            </w:tcBorders>
            <w:vAlign w:val="center"/>
          </w:tcPr>
          <w:p>
            <w:pPr>
              <w:pStyle w:val="273"/>
              <w:jc w:val="center"/>
              <w:textAlignment w:val="center"/>
            </w:pPr>
            <w:r>
              <w:t>坦桑尼亚</w:t>
            </w:r>
          </w:p>
          <w:p>
            <w:pPr>
              <w:pStyle w:val="274"/>
              <w:jc w:val="center"/>
              <w:textAlignment w:val="center"/>
            </w:pPr>
          </w:p>
        </w:tc>
        <w:tc>
          <w:tcPr>
            <w:tcW w:w="596"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93" w:type="dxa"/>
            <w:vAlign w:val="center"/>
          </w:tcPr>
          <w:p>
            <w:pPr>
              <w:pStyle w:val="174"/>
              <w:jc w:val="left"/>
              <w:rPr>
                <w:rFonts w:ascii="宋体" w:cs="宋体"/>
                <w:sz w:val="22"/>
              </w:rPr>
            </w:pPr>
            <w:r>
              <w:rPr>
                <w:rFonts w:ascii="宋体" w:cs="宋体"/>
                <w:sz w:val="22"/>
              </w:rPr>
              <w:t>PCD 802：2026，纺织品针织男式和女式内裤规范，第一版。该国家标准草案规定了针织男女内裤及其制造所用面料的要求、取样和测试方法。</w:t>
            </w:r>
          </w:p>
        </w:tc>
      </w:tr>
      <w:tr>
        <w:trPr>
          <w:trHeight w:val="30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193" w:type="dxa"/>
            <w:vAlign w:val="center"/>
          </w:tcPr>
          <w:p>
            <w:pPr>
              <w:pStyle w:val="64"/>
              <w:jc w:val="left"/>
              <w:rPr>
                <w:rFonts w:ascii="宋体" w:cs="宋体"/>
                <w:sz w:val="22"/>
              </w:rPr>
            </w:pPr>
            <w:r>
              <w:rPr>
                <w:rFonts w:ascii="宋体" w:cs="宋体"/>
                <w:sz w:val="22"/>
              </w:rPr>
              <w:t>PCD 801：2026，纺织品胸罩规格，第一版。该国家标准草案规定了胸罩及其制造中使用的织物的要求、取样和测试方法。</w:t>
            </w:r>
          </w:p>
        </w:tc>
      </w:tr>
      <w:tr>
        <w:trPr>
          <w:trHeight w:val="925"/>
        </w:trPr>
        <w:tc>
          <w:tcPr>
            <w:tcW w:w="1382" w:type="dxa"/>
            <w:vMerge w:val="restart"/>
            <w:tcBorders>
              <w:tl2br w:val="nil"/>
              <w:tr2bl w:val="nil"/>
            </w:tcBorders>
            <w:vAlign w:val="center"/>
          </w:tcPr>
          <w:p>
            <w:pPr>
              <w:pStyle w:val="275"/>
              <w:jc w:val="center"/>
            </w:pPr>
            <w:r>
              <w:t>土耳其</w:t>
            </w:r>
          </w:p>
        </w:tc>
        <w:tc>
          <w:tcPr>
            <w:tcW w:w="596"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93" w:type="dxa"/>
            <w:vAlign w:val="center"/>
          </w:tcPr>
          <w:p>
            <w:pPr>
              <w:jc w:val="left"/>
              <w:rPr>
                <w:rFonts w:ascii="宋体" w:cs="宋体"/>
                <w:sz w:val="22"/>
              </w:rPr>
            </w:pPr>
            <w:r>
              <w:rPr>
                <w:rFonts w:ascii="宋体" w:cs="宋体" w:hint="eastAsia"/>
                <w:sz w:val="22"/>
              </w:rPr>
              <w:t>关于修订关于家用和办公用电子电气设备在待机、关机及网络连接待机模式下电能消耗的生态设计要求的公报（2023/826/EU）(DGI-2024/5)的公报草案</w:t>
            </w:r>
            <w:r>
              <w:rPr>
                <w:rFonts w:ascii="宋体" w:cs="宋体"/>
                <w:sz w:val="22"/>
              </w:rPr>
              <w:t>。</w:t>
            </w:r>
            <w:r>
              <w:rPr>
                <w:rFonts w:ascii="宋体" w:cs="宋体" w:hint="eastAsia"/>
                <w:sz w:val="22"/>
              </w:rPr>
              <w:t>为履行遵守欧盟立法的义务，已对关于修订家用和办公型电子电气设备待机、关机及网络连接待机模式下电能消耗的生态设计要求公报的公报草案进行了修改。</w:t>
            </w:r>
          </w:p>
        </w:tc>
      </w:tr>
      <w:tr>
        <w:trPr>
          <w:trHeight w:val="103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93" w:type="dxa"/>
            <w:vAlign w:val="center"/>
          </w:tcPr>
          <w:p>
            <w:pPr>
              <w:pStyle w:val="176"/>
              <w:jc w:val="left"/>
              <w:rPr>
                <w:rFonts w:ascii="宋体" w:cs="宋体"/>
                <w:sz w:val="22"/>
              </w:rPr>
            </w:pPr>
            <w:r>
              <w:rPr>
                <w:rFonts w:ascii="宋体" w:cs="宋体"/>
                <w:sz w:val="22"/>
              </w:rPr>
              <w:t>关于外部电源、无线充电器、无线充电板、通用便携式电池的电池充电器和USB TYPE-C电缆的生态设计要求的公报草案。本公报的目的是根据2022年2月4日第5187号总统令生效的《能源相关产品生态设计条例》的实施，制定外部电源、通用便携式电池充电器、无线充电器、无线充电板和USB Type-C电缆的投放市场或投入使用的生态设计要求。</w:t>
            </w:r>
          </w:p>
        </w:tc>
      </w:tr>
      <w:tr>
        <w:trPr>
          <w:trHeight w:val="782"/>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93" w:type="dxa"/>
            <w:vAlign w:val="center"/>
          </w:tcPr>
          <w:p>
            <w:pPr>
              <w:jc w:val="left"/>
              <w:rPr>
                <w:rFonts w:ascii="宋体" w:cs="宋体"/>
                <w:sz w:val="22"/>
              </w:rPr>
            </w:pPr>
            <w:r>
              <w:rPr>
                <w:rFonts w:ascii="宋体" w:cs="宋体"/>
                <w:sz w:val="22"/>
              </w:rPr>
              <w:t>关于修订关于家用滚筒式干衣机生态设计要求的的公报草案。履行遵守欧盟立法的义务，已对关于修订家用滚筒式干衣机生态设计要求公报（2023/2533/EU）（DGI‑2024/3）的公报草案进行了修订。</w:t>
            </w:r>
          </w:p>
        </w:tc>
      </w:tr>
      <w:tr>
        <w:trPr>
          <w:trHeight w:val="67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93" w:type="dxa"/>
            <w:vAlign w:val="center"/>
          </w:tcPr>
          <w:p>
            <w:pPr>
              <w:pStyle w:val="247"/>
              <w:jc w:val="left"/>
              <w:rPr>
                <w:rFonts w:ascii="宋体" w:cs="宋体"/>
                <w:sz w:val="22"/>
              </w:rPr>
            </w:pPr>
            <w:r>
              <w:rPr>
                <w:rFonts w:ascii="宋体" w:cs="宋体"/>
                <w:sz w:val="22"/>
              </w:rPr>
              <w:t>关于修订家用滚筒式干衣机能源标签的公报草案。根据遵守欧盟立法的义务，已对关于修订家用滚筒式干衣机能效标签（2023/2534/EU）的公报草案做出修改。</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植物检疫条例生效的通报。通过SPS通报G/SPS/N/TUR/23/Rev.1/Add.2，于2026年5月6日正式发布修订后的《植物检疫条例》。自2026年8月4日条例生效之日起，根据该条例第22条第4款规定，附件4所列具体要求必须完整明确地体现在植物检疫证书或再出口植物检疫证书的相应栏目中，符合ISPM 12标准。因此，对于2026年8月4日或之后签发的植物检疫证书和再出口植物检疫证书，如果没有明确说明该条例附件-4规定的具体要求，此类证书将被视为无效，相关货物将不被允许进入土耳其。</w:t>
            </w:r>
          </w:p>
        </w:tc>
      </w:tr>
      <w:tr>
        <w:trPr>
          <w:trHeight w:val="613"/>
        </w:trPr>
        <w:tc>
          <w:tcPr>
            <w:tcW w:w="1382" w:type="dxa"/>
            <w:vMerge w:val="restart"/>
            <w:tcBorders>
              <w:tl2br w:val="nil"/>
              <w:tr2bl w:val="nil"/>
            </w:tcBorders>
            <w:vAlign w:val="center"/>
          </w:tcPr>
          <w:p>
            <w:pPr>
              <w:pStyle w:val="277"/>
              <w:jc w:val="center"/>
            </w:pPr>
            <w:r>
              <w:t>乌干达</w:t>
            </w:r>
          </w:p>
        </w:tc>
        <w:tc>
          <w:tcPr>
            <w:tcW w:w="596"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sz w:val="22"/>
              </w:rPr>
              <w:t>DUS 2466：2026，Cascara-Specification，第一版。该标准草案规定了由新鲜咖啡豆加工而成的卡斯卡拉的要求、取样和测试方法。</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DUS 1862：2026，生物炭</w:t>
            </w:r>
            <w:bookmarkStart w:id="0" w:name="_GoBack"/>
            <w:bookmarkEnd w:id="0"/>
            <w:r>
              <w:rPr>
                <w:rFonts w:ascii="宋体" w:cs="宋体"/>
                <w:sz w:val="22"/>
              </w:rPr>
              <w:t>规范，第一版。该标准草案规定了生物炭的要求、取样和测试方法。该标准适用于生物质在有限氧条件下通过热解或气化等热化学转化过程生产的生物炭。本标准不适用于用作燃料的木炭或由危险或受污染的原料生产的生物炭。</w:t>
            </w:r>
          </w:p>
        </w:tc>
      </w:tr>
      <w:tr>
        <w:trPr>
          <w:trHeight w:val="651"/>
        </w:trPr>
        <w:tc>
          <w:tcPr>
            <w:tcW w:w="1382" w:type="dxa"/>
            <w:tcBorders>
              <w:tl2br w:val="nil"/>
              <w:tr2bl w:val="nil"/>
            </w:tcBorders>
            <w:vAlign w:val="center"/>
          </w:tcPr>
          <w:p>
            <w:pPr>
              <w:pStyle w:val="249"/>
              <w:jc w:val="center"/>
            </w:pPr>
            <w:r>
              <w:t>西班牙</w:t>
            </w:r>
          </w:p>
        </w:tc>
        <w:tc>
          <w:tcPr>
            <w:tcW w:w="596"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93" w:type="dxa"/>
            <w:vAlign w:val="center"/>
          </w:tcPr>
          <w:p>
            <w:pPr>
              <w:jc w:val="left"/>
              <w:rPr>
                <w:rFonts w:ascii="宋体" w:cs="宋体"/>
                <w:sz w:val="22"/>
              </w:rPr>
            </w:pPr>
            <w:r>
              <w:rPr>
                <w:rFonts w:ascii="宋体" w:cs="宋体"/>
                <w:sz w:val="22"/>
              </w:rPr>
              <w:t>规范纺织品和鞋类产品及其废物管理的法令草案。本法令草案旨在规范纺织品和鞋类产品在其废物预防和管理方面的法律制度，以减少其在全生命周期内对环境的影响，从而推进循环经济，优先重视预防、再利用、再利用准备和回收利用。为此，法令草案规定：纺织品分类收集的条件；废旧纺织品何时不再被视为废物，以及旧产品转移须满足的条件；纺织品和鞋类产品的生产者责任延伸制度，为此明确产品生产者的定义、其义务以及集体责任体系的义务，并确定在纺织品和鞋类废物管理方面应予以资助的成本；透明信息系统，既规范须向产品生产者登记处提供的信息，也规范生产者责任延伸体系向主管机关提交的年度报告，以及纺织品和鞋类产品废物管理者的年度报告义务；应向最终用户提供的有关可持续消费的信息。</w:t>
            </w:r>
          </w:p>
        </w:tc>
      </w:tr>
      <w:tr>
        <w:trPr>
          <w:trHeight w:val="613"/>
        </w:trPr>
        <w:tc>
          <w:tcPr>
            <w:tcW w:w="1382" w:type="dxa"/>
            <w:tcBorders>
              <w:tl2br w:val="nil"/>
              <w:tr2bl w:val="nil"/>
            </w:tcBorders>
            <w:vAlign w:val="center"/>
          </w:tcPr>
          <w:p>
            <w:pPr>
              <w:pStyle w:val="249"/>
              <w:jc w:val="center"/>
            </w:pPr>
            <w:r>
              <w:t>印度尼西亚</w:t>
            </w:r>
          </w:p>
        </w:tc>
        <w:tc>
          <w:tcPr>
            <w:tcW w:w="596"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93" w:type="dxa"/>
            <w:vAlign w:val="center"/>
          </w:tcPr>
          <w:p>
            <w:r>
              <w:t>2026年清真产品保证组织机构负责人关于化妆品清真保证体系实施指南的法令草案。该法规草案为化妆品清真保证体系的实施制定了指导方针。该指南旨在协助企业经营者、清真主管、清真审核员、清真产品保证检查员和其他利益相关者根据印度尼西亚清真产品保证法和2024年第42号政府法规实施清真保证体系。该法规为适用于化妆品的清真保证体系的标准提供了指导，并确定了整个生产过程中的关键清真控制点，以确保清真合规性的连续性。该指南旨在促进清真要求的一致实施，支持遵守适用的法规和标准，并确保化妆品符合伊斯兰原则的清真要求。</w:t>
            </w:r>
          </w:p>
        </w:tc>
      </w:tr>
      <w:tr>
        <w:trPr>
          <w:trHeight w:val="689"/>
        </w:trPr>
        <w:tc>
          <w:tcPr>
            <w:tcW w:w="1382" w:type="dxa"/>
            <w:tcBorders>
              <w:tl2br w:val="nil"/>
              <w:tr2bl w:val="nil"/>
            </w:tcBorders>
            <w:vAlign w:val="center"/>
          </w:tcPr>
          <w:p>
            <w:pPr>
              <w:pStyle w:val="249"/>
              <w:jc w:val="center"/>
            </w:pPr>
            <w:r>
              <w:t>印度</w:t>
            </w:r>
          </w:p>
        </w:tc>
        <w:tc>
          <w:tcPr>
            <w:tcW w:w="596"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93" w:type="dxa"/>
            <w:vAlign w:val="center"/>
          </w:tcPr>
          <w:p>
            <w:pPr>
              <w:jc w:val="left"/>
              <w:rPr>
                <w:rFonts w:ascii="宋体" w:cs="宋体"/>
                <w:sz w:val="22"/>
              </w:rPr>
            </w:pPr>
            <w:r>
              <w:rPr>
                <w:rFonts w:ascii="宋体" w:cs="宋体"/>
                <w:sz w:val="22"/>
              </w:rPr>
              <w:t>2026年食品安全和标准（食品标准和食品添加剂）修订条例草案。2026年食品安全和标准（食品标准和食品添加剂）修订条例草案涉及次要籽油（辣椒籽油、甜瓜籽油、秋葵籽油和番茄籽油）的新团体标准；食用种子新标准；以及聚天冬氨酸钾在食品类别14.2.3（葡萄酒）中的用途。</w:t>
            </w:r>
          </w:p>
        </w:tc>
      </w:tr>
      <w:tr>
        <w:trPr>
          <w:trHeight w:val="925"/>
        </w:trPr>
        <w:tc>
          <w:tcPr>
            <w:tcW w:w="1382" w:type="dxa"/>
            <w:vMerge w:val="restart"/>
            <w:tcBorders>
              <w:tl2br w:val="nil"/>
              <w:tr2bl w:val="nil"/>
            </w:tcBorders>
            <w:vAlign w:val="center"/>
          </w:tcPr>
          <w:p>
            <w:pPr>
              <w:pStyle w:val="278"/>
              <w:jc w:val="center"/>
            </w:pPr>
            <w:r>
              <w:t>英国</w:t>
            </w:r>
          </w:p>
        </w:tc>
        <w:tc>
          <w:tcPr>
            <w:tcW w:w="596"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93" w:type="dxa"/>
            <w:vAlign w:val="center"/>
          </w:tcPr>
          <w:p>
            <w:pPr>
              <w:pStyle w:val="185"/>
              <w:jc w:val="left"/>
              <w:rPr>
                <w:rFonts w:ascii="宋体" w:cs="宋体"/>
                <w:sz w:val="22"/>
              </w:rPr>
            </w:pPr>
            <w:r>
              <w:rPr>
                <w:rFonts w:ascii="宋体" w:cs="宋体" w:hint="eastAsia"/>
                <w:sz w:val="22"/>
              </w:rPr>
              <w:t>玩具（安全）条例</w:t>
            </w:r>
            <w:r>
              <w:rPr>
                <w:rFonts w:ascii="宋体" w:cs="宋体"/>
                <w:sz w:val="22"/>
              </w:rPr>
              <w:t>。</w:t>
            </w:r>
            <w:r>
              <w:rPr>
                <w:rFonts w:ascii="宋体" w:cs="宋体" w:hint="eastAsia"/>
                <w:sz w:val="22"/>
              </w:rPr>
              <w:t>本措施将对适用于大不列颠（GB）的《2011年玩具安全条例》进行修订，具体涉及修订该条例中钴的允许含量。此外，还将修改玩具条例，以便在收到豁免请求后引入钴的允许限值。目前，根据大不列颠的分类、标签和包装法规，钴被归类为致癌、致突变或生殖毒性物质。</w:t>
            </w:r>
          </w:p>
        </w:tc>
      </w:tr>
      <w:tr>
        <w:trPr>
          <w:trHeight w:val="193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93" w:type="dxa"/>
            <w:vAlign w:val="center"/>
          </w:tcPr>
          <w:p>
            <w:pPr>
              <w:pStyle w:val="186"/>
              <w:jc w:val="left"/>
              <w:rPr>
                <w:rFonts w:ascii="宋体" w:cs="宋体"/>
                <w:sz w:val="22"/>
              </w:rPr>
            </w:pPr>
            <w:r>
              <w:rPr>
                <w:rFonts w:ascii="宋体" w:cs="宋体"/>
                <w:sz w:val="22"/>
              </w:rPr>
              <w:t>修订英国最大残留限量法定注册中甲芬氟康唑的新的英国最大残留限量。甲芬氟康唑是英国批准的活性物质。健康与安全执行局收到了一份申请，要求在草莓、西红柿、茄子、黄瓜、小黄瓜和西葫芦中/上设定新的甲芬氟康唑最大残留限量。经过评估，采用了新的最大残留限量，以适应英国新的植物保护产品用途，将限量提高如下草莓：0.01mg/kg至0.8 mg/kg，番茄：0.01mg/kg至0.4 mg/kg，茄子：0.01mg/kg至0.4 mg/kg，黄瓜：0.01mg/kg至0.2 mg/kg，小黄瓜：0.01mg/kg至0.2 mg/kg，西葫芦：0.01mg/kg至0.2 mg/kg。支持新最大残留限量的评估报告/合理意见可通过以下链接获得：各种商品中甲芬氟康唑新最大残留限量的评估。</w:t>
            </w:r>
          </w:p>
        </w:tc>
      </w:tr>
      <w:tr>
        <w:trPr>
          <w:trHeight w:val="82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93" w:type="dxa"/>
            <w:vAlign w:val="center"/>
          </w:tcPr>
          <w:p>
            <w:pPr>
              <w:pStyle w:val="187"/>
              <w:jc w:val="left"/>
              <w:rPr>
                <w:rFonts w:ascii="宋体" w:cs="宋体"/>
                <w:sz w:val="22"/>
              </w:rPr>
            </w:pPr>
            <w:r>
              <w:rPr>
                <w:rFonts w:ascii="宋体" w:cs="宋体"/>
                <w:sz w:val="22"/>
              </w:rPr>
              <w:t>修订英国最大残留限量法定注册中抑霉唑的新的英国最大残留限量。抑霉唑是英国批准的活性物质。健康与安全执行局收到了一份申请，要求采用法典最大残留限量作为英国香蕉中的最大残留限量。经过评估，香蕉中抑霉唑的新限量已被采用，将限量从0.01mg/kg提高到3.00 mg/kg。</w:t>
            </w:r>
          </w:p>
        </w:tc>
      </w:tr>
      <w:tr>
        <w:trPr>
          <w:trHeight w:val="613"/>
        </w:trPr>
        <w:tc>
          <w:tcPr>
            <w:tcW w:w="1382" w:type="dxa"/>
            <w:vMerge w:val="restart"/>
            <w:tcBorders>
              <w:tl2br w:val="nil"/>
              <w:tr2bl w:val="nil"/>
            </w:tcBorders>
            <w:vAlign w:val="center"/>
          </w:tcPr>
          <w:p>
            <w:pPr>
              <w:pStyle w:val="280"/>
              <w:jc w:val="center"/>
            </w:pPr>
            <w:r>
              <w:t>越南</w:t>
            </w:r>
          </w:p>
        </w:tc>
        <w:tc>
          <w:tcPr>
            <w:tcW w:w="596"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93" w:type="dxa"/>
            <w:vAlign w:val="center"/>
          </w:tcPr>
          <w:p>
            <w:pPr>
              <w:pStyle w:val="188"/>
              <w:jc w:val="left"/>
              <w:rPr>
                <w:rFonts w:ascii="宋体" w:cs="宋体"/>
                <w:sz w:val="22"/>
              </w:rPr>
            </w:pPr>
            <w:r>
              <w:rPr>
                <w:rFonts w:ascii="宋体" w:cs="宋体"/>
                <w:sz w:val="22"/>
              </w:rPr>
              <w:t>颁布国家技术条例修正案的通知草案：用于生产ANFO炸药的硝酸铵。通知草案公布了关于用于生产工业炸药的硝酸铵和爆炸物前体的国家技术法规修正案。</w:t>
            </w:r>
          </w:p>
        </w:tc>
      </w:tr>
      <w:tr>
        <w:trPr>
          <w:trHeight w:val="61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93" w:type="dxa"/>
            <w:vAlign w:val="center"/>
          </w:tcPr>
          <w:p>
            <w:pPr>
              <w:pStyle w:val="190"/>
              <w:jc w:val="left"/>
              <w:rPr>
                <w:rFonts w:ascii="宋体" w:cs="宋体"/>
                <w:sz w:val="22"/>
              </w:rPr>
            </w:pPr>
            <w:r>
              <w:rPr>
                <w:rFonts w:ascii="宋体" w:cs="宋体"/>
                <w:sz w:val="22"/>
              </w:rPr>
              <w:t>对QCVN 02:2017/BCT液化石油气微型钢瓶安全国家技术法规修订案。本技术法规草案对QCVN 16:2022/BCT的多项条款进行了修订和替换，涵盖：技术要求；合格评定；监视和更新的HS编码。</w:t>
            </w:r>
          </w:p>
        </w:tc>
      </w:tr>
      <w:tr>
        <w:trPr>
          <w:trHeight w:val="73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2"/>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193" w:type="dxa"/>
            <w:vAlign w:val="center"/>
          </w:tcPr>
          <w:p>
            <w:pPr>
              <w:pStyle w:val="191"/>
              <w:jc w:val="left"/>
              <w:rPr>
                <w:rFonts w:ascii="宋体" w:cs="宋体"/>
                <w:sz w:val="22"/>
              </w:rPr>
            </w:pPr>
            <w:r>
              <w:rPr>
                <w:rFonts w:ascii="宋体" w:cs="宋体"/>
                <w:sz w:val="22"/>
              </w:rPr>
              <w:t>煤矿井下用液压支架（动力顶板支架）设备。对有关产品HS编码、合格评定、产品质量国家检验、产品标识、检验、煤矿井下使用液压支架管理办法等部分规定进行修改、补充、替换。</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3"/>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193" w:type="dxa"/>
            <w:vAlign w:val="center"/>
          </w:tcPr>
          <w:p>
            <w:pPr>
              <w:pStyle w:val="192"/>
              <w:jc w:val="left"/>
              <w:rPr>
                <w:rFonts w:ascii="宋体" w:cs="宋体"/>
                <w:sz w:val="22"/>
              </w:rPr>
            </w:pPr>
            <w:r>
              <w:rPr>
                <w:rFonts w:ascii="宋体" w:cs="宋体"/>
                <w:sz w:val="22"/>
              </w:rPr>
              <w:t>对QCVN 01:2014/BCT-移动设备制造工业炸药安全国家技术法规修订案。本法规规定了工业炸药生产中使用的移动式设备的要求以及使用移动式设备生产工业炸药的安全要求。对QCVN进行了修改和补充，以符合新发布的产品质量管理规定。该条例适用于在越南境内参与使用移动装置生产工业爆炸物的组织和个人。</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193" w:type="dxa"/>
            <w:vAlign w:val="center"/>
          </w:tcPr>
          <w:p>
            <w:pPr>
              <w:jc w:val="left"/>
              <w:rPr>
                <w:rFonts w:ascii="宋体" w:cs="宋体"/>
                <w:sz w:val="22"/>
              </w:rPr>
            </w:pPr>
            <w:r>
              <w:rPr>
                <w:rFonts w:ascii="宋体" w:cs="宋体"/>
                <w:sz w:val="22"/>
              </w:rPr>
              <w:t>对QCVN 09:2015/BCT 国家纸巾和卫生纸技术法规修正案。本技术法规草案修订并取代了QCVN 09:2015/BCT的多项条款，包括：总则；技术要求；管理要求；实施组织和更新的HS编码。</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193" w:type="dxa"/>
            <w:vAlign w:val="center"/>
          </w:tcPr>
          <w:p>
            <w:pPr>
              <w:jc w:val="left"/>
              <w:rPr>
                <w:rFonts w:ascii="宋体" w:cs="宋体"/>
                <w:sz w:val="22"/>
              </w:rPr>
            </w:pPr>
            <w:r>
              <w:rPr>
                <w:rFonts w:ascii="宋体" w:cs="宋体" w:hint="eastAsia"/>
                <w:sz w:val="22"/>
              </w:rPr>
              <w:t>国家工业爆炸材料安全技术规程——单元素烈性炸药混合物</w:t>
            </w:r>
            <w:r>
              <w:rPr>
                <w:rFonts w:ascii="宋体" w:cs="宋体"/>
                <w:sz w:val="22"/>
              </w:rPr>
              <w:t>。</w:t>
            </w:r>
            <w:r>
              <w:rPr>
                <w:rFonts w:ascii="宋体" w:cs="宋体" w:hint="eastAsia"/>
                <w:sz w:val="22"/>
              </w:rPr>
              <w:t>该条例规定了单元素烈性炸药混合物的技术规格、测试方法和管理措施的要求，具体而言，是三硝基甲苯与下列单元素烈性炸药之一的混合物：Hexogen、Octogen或Pentrite。本规定涵盖：技术规范；包装和储存要求；测试方法；合格评定：流通中产品的强制性第三方合格认证和国家质检要求。该条例适用于在越南领土内从事与单元素烈性炸药混合物有关活动的组织和个人以及其他相关组织和个人；对这些产品进行合格评定活动的合格认证机构和国家主管管理机构以及其他有关组织和个人。</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71</w:t>
            </w:r>
          </w:p>
        </w:tc>
        <w:tc>
          <w:tcPr>
            <w:tcW w:w="12193" w:type="dxa"/>
            <w:vAlign w:val="center"/>
          </w:tcPr>
          <w:p>
            <w:pPr>
              <w:jc w:val="left"/>
              <w:rPr>
                <w:rFonts w:ascii="宋体" w:cs="宋体"/>
                <w:sz w:val="22"/>
              </w:rPr>
            </w:pPr>
            <w:r>
              <w:rPr>
                <w:rFonts w:ascii="宋体" w:cs="宋体"/>
                <w:sz w:val="22"/>
              </w:rPr>
              <w:t>国家汽车安全环保技术法规草案。本国家技术法规草案规定了对新制造、组装及进口汽车的技术安全质量与环境保护进行检验、测试和认证的技术要求。该法规包括发动机、传动系统、制动系统、转向系统、照明和信号装置等相关规定，以及废气排放和噪声限值等环境保护要求。本国家法规草案适用于参与汽车技术安全质量和环境保护检验、测试和认证工作的组织和个人。</w:t>
            </w:r>
          </w:p>
        </w:tc>
      </w:tr>
      <w:tr>
        <w:trPr>
          <w:trHeight w:val="943"/>
        </w:trPr>
        <w:tc>
          <w:tcPr>
            <w:tcW w:w="1382" w:type="dxa"/>
            <w:vMerge w:val="restart"/>
            <w:tcBorders>
              <w:tl2br w:val="nil"/>
              <w:tr2bl w:val="nil"/>
            </w:tcBorders>
            <w:vAlign w:val="center"/>
          </w:tcPr>
          <w:p>
            <w:pPr>
              <w:pStyle w:val="282"/>
              <w:jc w:val="center"/>
            </w:pPr>
            <w:r>
              <w:t>智利</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72</w:t>
            </w:r>
          </w:p>
        </w:tc>
        <w:tc>
          <w:tcPr>
            <w:tcW w:w="12193" w:type="dxa"/>
            <w:vAlign w:val="center"/>
          </w:tcPr>
          <w:p>
            <w:pPr>
              <w:jc w:val="left"/>
              <w:rPr>
                <w:rFonts w:ascii="宋体" w:cs="宋体"/>
                <w:sz w:val="22"/>
              </w:rPr>
            </w:pPr>
            <w:r>
              <w:rPr>
                <w:rFonts w:ascii="宋体" w:cs="宋体" w:hint="eastAsia"/>
                <w:sz w:val="22"/>
              </w:rPr>
              <w:t>安全测试协议PC No.65/3：2026-使用气体燃料的室外红外辐射加热器。本协议根据CSA/ANSI Z83.26：2020–CSA 2.37：2020标准建立了“使用气体燃料的室外红外辐射加热器”的认证程序。此外，本协议涵盖的产品必须被视为适用于豁免决议SEC No.745：2004，或其替代规定，即设备必须在市场上销售，并内置软管和调节器。</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73</w:t>
            </w:r>
          </w:p>
        </w:tc>
        <w:tc>
          <w:tcPr>
            <w:tcW w:w="12193" w:type="dxa"/>
            <w:vAlign w:val="center"/>
          </w:tcPr>
          <w:p>
            <w:pPr>
              <w:jc w:val="left"/>
              <w:rPr>
                <w:rFonts w:ascii="宋体" w:cs="宋体"/>
                <w:sz w:val="22"/>
              </w:rPr>
            </w:pPr>
            <w:r>
              <w:rPr>
                <w:rFonts w:ascii="宋体" w:cs="宋体"/>
                <w:sz w:val="22"/>
              </w:rPr>
              <w:t>PC协议第123号：2026-用于便携式液化石油气复合钢瓶的手动操作阀门。本协议规定了便携式复合液化石油气钢瓶手动操作阀门的认证程序。本协议的范围包括带减压阀的手动操作阀门。同样，这些阀门可以包含以下任何安全功能：固定液位指示器、止回阀和过流装置。</w:t>
            </w:r>
          </w:p>
        </w:tc>
      </w:tr>
      <w:tr>
        <w:trPr>
          <w:trHeight w:val="7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74</w:t>
            </w:r>
          </w:p>
        </w:tc>
        <w:tc>
          <w:tcPr>
            <w:tcW w:w="12193" w:type="dxa"/>
            <w:vAlign w:val="center"/>
          </w:tcPr>
          <w:p>
            <w:pPr>
              <w:jc w:val="left"/>
              <w:rPr>
                <w:rFonts w:ascii="宋体" w:cs="宋体"/>
                <w:sz w:val="22"/>
              </w:rPr>
            </w:pPr>
            <w:r>
              <w:rPr>
                <w:rFonts w:ascii="宋体" w:cs="宋体" w:hint="eastAsia"/>
                <w:sz w:val="22"/>
              </w:rPr>
              <w:t>修改所示决议，取消在产品标签上注明净重的要求。该措施草案修改了多项规定畜产品健康要求的决议，旨在通过取消在此类产品标签上记录“净重”的义务来简化适用的程序，因为该信息既不健康也与可追溯性无关。更多详情见本通知所附文件。</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75</w:t>
            </w:r>
          </w:p>
        </w:tc>
        <w:tc>
          <w:tcPr>
            <w:tcW w:w="12193" w:type="dxa"/>
            <w:vAlign w:val="center"/>
          </w:tcPr>
          <w:p>
            <w:pPr>
              <w:jc w:val="left"/>
              <w:rPr>
                <w:rFonts w:ascii="宋体" w:cs="宋体"/>
                <w:sz w:val="22"/>
              </w:rPr>
            </w:pPr>
            <w:r>
              <w:rPr>
                <w:rFonts w:ascii="宋体" w:cs="宋体"/>
                <w:sz w:val="22"/>
              </w:rPr>
              <w:t>规定通过动物进口许可证在没有商业罚款的情况下向智利进口动物源或动物用途的样本或产品，并废除2018年第4467号决议。通报措施规定了非商业目的动物来源或动物用途的样品或产品进入该国必须遵守的准则和条件，说明其适用的样品或产品、系统、请求、截止日期、可能的结果、结果的正式化方法、授权的有效性等。有关更多详细信息，请查看本通知所附文件。</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7</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27</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248">
    <w:name w:val="样式 218 10 磅"/>
    <w:pPr>
      <w:widowControl w:val="0"/>
      <w:jc w:val="both"/>
    </w:pPr>
    <w:rPr>
      <w:rFonts w:ascii="Calibri" w:eastAsia="宋体" w:cs="Calibri" w:hAnsi="Calibri"/>
      <w:kern w:val="2"/>
      <w:sz w:val="21"/>
      <w:szCs w:val="21"/>
      <w:lang w:val="en-US" w:eastAsia="zh-CN" w:bidi="ar-SA"/>
    </w:rPr>
  </w:style>
  <w:style w:type="paragraph" w:customStyle="1" w:styleId="249">
    <w:name w:val="样式 219 10 磅"/>
    <w:pPr>
      <w:widowControl w:val="0"/>
      <w:jc w:val="both"/>
    </w:pPr>
    <w:rPr>
      <w:rFonts w:ascii="Calibri" w:eastAsia="宋体" w:cs="Calibri" w:hAnsi="Calibri"/>
      <w:kern w:val="2"/>
      <w:sz w:val="21"/>
      <w:szCs w:val="21"/>
      <w:lang w:val="en-US" w:eastAsia="zh-CN" w:bidi="ar-SA"/>
    </w:rPr>
  </w:style>
  <w:style w:type="paragraph" w:customStyle="1" w:styleId="250">
    <w:name w:val="样式 220 10 磅"/>
    <w:pPr>
      <w:widowControl w:val="0"/>
      <w:jc w:val="both"/>
    </w:pPr>
    <w:rPr>
      <w:rFonts w:ascii="Calibri" w:eastAsia="宋体" w:cs="Calibri" w:hAnsi="Calibri"/>
      <w:kern w:val="2"/>
      <w:sz w:val="21"/>
      <w:szCs w:val="21"/>
      <w:lang w:val="en-US" w:eastAsia="zh-CN" w:bidi="ar-SA"/>
    </w:rPr>
  </w:style>
  <w:style w:type="paragraph" w:customStyle="1" w:styleId="251">
    <w:name w:val="样式 221 10 磅"/>
    <w:pPr>
      <w:widowControl w:val="0"/>
      <w:jc w:val="both"/>
    </w:pPr>
    <w:rPr>
      <w:rFonts w:ascii="Calibri" w:eastAsia="宋体" w:cs="Calibri" w:hAnsi="Calibri"/>
      <w:kern w:val="2"/>
      <w:sz w:val="21"/>
      <w:szCs w:val="21"/>
      <w:lang w:val="en-US" w:eastAsia="zh-CN" w:bidi="ar-SA"/>
    </w:rPr>
  </w:style>
  <w:style w:type="paragraph" w:customStyle="1" w:styleId="252">
    <w:name w:val="样式 222 10 磅"/>
    <w:pPr>
      <w:widowControl w:val="0"/>
      <w:jc w:val="both"/>
    </w:pPr>
    <w:rPr>
      <w:rFonts w:ascii="Calibri" w:eastAsia="宋体" w:cs="Calibri" w:hAnsi="Calibri"/>
      <w:kern w:val="2"/>
      <w:sz w:val="21"/>
      <w:szCs w:val="21"/>
      <w:lang w:val="en-US" w:eastAsia="zh-CN" w:bidi="ar-SA"/>
    </w:rPr>
  </w:style>
  <w:style w:type="paragraph" w:customStyle="1" w:styleId="253">
    <w:name w:val="样式 223 10 磅"/>
    <w:pPr>
      <w:widowControl w:val="0"/>
      <w:jc w:val="both"/>
    </w:pPr>
    <w:rPr>
      <w:rFonts w:ascii="Calibri" w:eastAsia="宋体" w:cs="Calibri" w:hAnsi="Calibri"/>
      <w:kern w:val="2"/>
      <w:sz w:val="21"/>
      <w:szCs w:val="21"/>
      <w:lang w:val="en-US" w:eastAsia="zh-CN" w:bidi="ar-SA"/>
    </w:rPr>
  </w:style>
  <w:style w:type="paragraph" w:customStyle="1" w:styleId="254">
    <w:name w:val="样式 224 10 磅"/>
    <w:pPr>
      <w:widowControl w:val="0"/>
      <w:jc w:val="both"/>
    </w:pPr>
    <w:rPr>
      <w:rFonts w:ascii="Calibri" w:eastAsia="宋体" w:cs="Calibri" w:hAnsi="Calibri"/>
      <w:kern w:val="2"/>
      <w:sz w:val="21"/>
      <w:szCs w:val="21"/>
      <w:lang w:val="en-US" w:eastAsia="zh-CN" w:bidi="ar-SA"/>
    </w:rPr>
  </w:style>
  <w:style w:type="paragraph" w:customStyle="1" w:styleId="255">
    <w:name w:val="样式 225 10 磅"/>
    <w:pPr>
      <w:widowControl w:val="0"/>
      <w:jc w:val="both"/>
    </w:pPr>
    <w:rPr>
      <w:rFonts w:ascii="Calibri" w:eastAsia="宋体" w:cs="Calibri" w:hAnsi="Calibri"/>
      <w:kern w:val="2"/>
      <w:sz w:val="21"/>
      <w:szCs w:val="21"/>
      <w:lang w:val="en-US" w:eastAsia="zh-CN" w:bidi="ar-SA"/>
    </w:rPr>
  </w:style>
  <w:style w:type="paragraph" w:customStyle="1" w:styleId="256">
    <w:name w:val="样式 226 10 磅"/>
    <w:pPr>
      <w:widowControl w:val="0"/>
      <w:jc w:val="both"/>
    </w:pPr>
    <w:rPr>
      <w:rFonts w:ascii="Calibri" w:eastAsia="宋体" w:cs="Calibri" w:hAnsi="Calibri"/>
      <w:kern w:val="2"/>
      <w:sz w:val="21"/>
      <w:szCs w:val="21"/>
      <w:lang w:val="en-US" w:eastAsia="zh-CN" w:bidi="ar-SA"/>
    </w:rPr>
  </w:style>
  <w:style w:type="paragraph" w:customStyle="1" w:styleId="257">
    <w:name w:val="样式 227 10 磅"/>
    <w:pPr>
      <w:widowControl w:val="0"/>
      <w:jc w:val="both"/>
    </w:pPr>
    <w:rPr>
      <w:rFonts w:ascii="Calibri" w:eastAsia="宋体" w:cs="Calibri" w:hAnsi="Calibri"/>
      <w:kern w:val="2"/>
      <w:sz w:val="21"/>
      <w:szCs w:val="21"/>
      <w:lang w:val="en-US" w:eastAsia="zh-CN" w:bidi="ar-SA"/>
    </w:rPr>
  </w:style>
  <w:style w:type="paragraph" w:customStyle="1" w:styleId="258">
    <w:name w:val="样式 228 10 磅"/>
    <w:pPr>
      <w:widowControl w:val="0"/>
      <w:jc w:val="both"/>
    </w:pPr>
    <w:rPr>
      <w:rFonts w:ascii="Calibri" w:eastAsia="宋体" w:cs="Calibri" w:hAnsi="Calibri"/>
      <w:kern w:val="2"/>
      <w:sz w:val="21"/>
      <w:szCs w:val="21"/>
      <w:lang w:val="en-US" w:eastAsia="zh-CN" w:bidi="ar-SA"/>
    </w:rPr>
  </w:style>
  <w:style w:type="paragraph" w:customStyle="1" w:styleId="259">
    <w:name w:val="样式 229 10 磅"/>
    <w:pPr>
      <w:widowControl w:val="0"/>
      <w:jc w:val="both"/>
    </w:pPr>
    <w:rPr>
      <w:rFonts w:ascii="Calibri" w:eastAsia="宋体" w:cs="Calibri" w:hAnsi="Calibri"/>
      <w:kern w:val="2"/>
      <w:sz w:val="21"/>
      <w:szCs w:val="21"/>
      <w:lang w:val="en-US" w:eastAsia="zh-CN" w:bidi="ar-SA"/>
    </w:rPr>
  </w:style>
  <w:style w:type="paragraph" w:customStyle="1" w:styleId="260">
    <w:name w:val="样式 230 10 磅"/>
    <w:pPr>
      <w:widowControl w:val="0"/>
      <w:jc w:val="both"/>
    </w:pPr>
    <w:rPr>
      <w:rFonts w:ascii="Calibri" w:eastAsia="宋体" w:cs="Calibri" w:hAnsi="Calibri"/>
      <w:kern w:val="2"/>
      <w:sz w:val="21"/>
      <w:szCs w:val="21"/>
      <w:lang w:val="en-US" w:eastAsia="zh-CN" w:bidi="ar-SA"/>
    </w:rPr>
  </w:style>
  <w:style w:type="paragraph" w:customStyle="1" w:styleId="261">
    <w:name w:val="样式 231 10 磅"/>
    <w:pPr>
      <w:widowControl w:val="0"/>
      <w:jc w:val="both"/>
    </w:pPr>
    <w:rPr>
      <w:rFonts w:ascii="Calibri" w:eastAsia="宋体" w:cs="Calibri" w:hAnsi="Calibri"/>
      <w:kern w:val="2"/>
      <w:sz w:val="21"/>
      <w:szCs w:val="21"/>
      <w:lang w:val="en-US" w:eastAsia="zh-CN" w:bidi="ar-SA"/>
    </w:rPr>
  </w:style>
  <w:style w:type="paragraph" w:customStyle="1" w:styleId="262">
    <w:name w:val="样式 232 10 磅"/>
    <w:pPr>
      <w:widowControl w:val="0"/>
      <w:jc w:val="both"/>
    </w:pPr>
    <w:rPr>
      <w:rFonts w:ascii="Calibri" w:eastAsia="宋体" w:cs="Calibri" w:hAnsi="Calibri"/>
      <w:kern w:val="2"/>
      <w:sz w:val="21"/>
      <w:szCs w:val="21"/>
      <w:lang w:val="en-US" w:eastAsia="zh-CN" w:bidi="ar-SA"/>
    </w:rPr>
  </w:style>
  <w:style w:type="paragraph" w:customStyle="1" w:styleId="263">
    <w:name w:val="样式 233 10 磅"/>
    <w:pPr>
      <w:widowControl w:val="0"/>
      <w:jc w:val="both"/>
    </w:pPr>
    <w:rPr>
      <w:rFonts w:ascii="Calibri" w:eastAsia="宋体" w:cs="Calibri" w:hAnsi="Calibri"/>
      <w:kern w:val="2"/>
      <w:sz w:val="21"/>
      <w:szCs w:val="21"/>
      <w:lang w:val="en-US" w:eastAsia="zh-CN" w:bidi="ar-SA"/>
    </w:rPr>
  </w:style>
  <w:style w:type="paragraph" w:customStyle="1" w:styleId="264">
    <w:name w:val="样式 234 10 磅"/>
    <w:pPr>
      <w:widowControl w:val="0"/>
      <w:jc w:val="both"/>
    </w:pPr>
    <w:rPr>
      <w:rFonts w:ascii="Calibri" w:eastAsia="宋体" w:cs="Calibri" w:hAnsi="Calibri"/>
      <w:kern w:val="2"/>
      <w:sz w:val="21"/>
      <w:szCs w:val="21"/>
      <w:lang w:val="en-US" w:eastAsia="zh-CN" w:bidi="ar-SA"/>
    </w:rPr>
  </w:style>
  <w:style w:type="paragraph" w:customStyle="1" w:styleId="265">
    <w:name w:val="样式 235 10 磅"/>
    <w:pPr>
      <w:widowControl w:val="0"/>
      <w:jc w:val="both"/>
    </w:pPr>
    <w:rPr>
      <w:rFonts w:ascii="Calibri" w:eastAsia="宋体" w:cs="Calibri" w:hAnsi="Calibri"/>
      <w:kern w:val="2"/>
      <w:sz w:val="21"/>
      <w:szCs w:val="21"/>
      <w:lang w:val="en-US" w:eastAsia="zh-CN" w:bidi="ar-SA"/>
    </w:rPr>
  </w:style>
  <w:style w:type="paragraph" w:customStyle="1" w:styleId="266">
    <w:name w:val="样式 236 10 磅"/>
    <w:pPr>
      <w:widowControl w:val="0"/>
      <w:jc w:val="both"/>
    </w:pPr>
    <w:rPr>
      <w:rFonts w:ascii="Calibri" w:eastAsia="宋体" w:cs="Calibri" w:hAnsi="Calibri"/>
      <w:kern w:val="2"/>
      <w:sz w:val="21"/>
      <w:szCs w:val="21"/>
      <w:lang w:val="en-US" w:eastAsia="zh-CN" w:bidi="ar-SA"/>
    </w:rPr>
  </w:style>
  <w:style w:type="paragraph" w:customStyle="1" w:styleId="267">
    <w:name w:val="样式 237 10 磅"/>
    <w:pPr>
      <w:widowControl w:val="0"/>
      <w:jc w:val="both"/>
    </w:pPr>
    <w:rPr>
      <w:rFonts w:ascii="Calibri" w:eastAsia="宋体" w:cs="Calibri" w:hAnsi="Calibri"/>
      <w:kern w:val="2"/>
      <w:sz w:val="21"/>
      <w:szCs w:val="21"/>
      <w:lang w:val="en-US" w:eastAsia="zh-CN" w:bidi="ar-SA"/>
    </w:rPr>
  </w:style>
  <w:style w:type="paragraph" w:customStyle="1" w:styleId="268">
    <w:name w:val="样式 238 10 磅"/>
    <w:pPr>
      <w:widowControl w:val="0"/>
      <w:jc w:val="both"/>
    </w:pPr>
    <w:rPr>
      <w:rFonts w:ascii="Calibri" w:eastAsia="宋体" w:cs="Calibri" w:hAnsi="Calibri"/>
      <w:kern w:val="2"/>
      <w:sz w:val="21"/>
      <w:szCs w:val="21"/>
      <w:lang w:val="en-US" w:eastAsia="zh-CN" w:bidi="ar-SA"/>
    </w:rPr>
  </w:style>
  <w:style w:type="paragraph" w:customStyle="1" w:styleId="269">
    <w:name w:val="样式 239 10 磅"/>
    <w:pPr>
      <w:widowControl w:val="0"/>
      <w:jc w:val="both"/>
    </w:pPr>
    <w:rPr>
      <w:rFonts w:ascii="Calibri" w:eastAsia="宋体" w:cs="Calibri" w:hAnsi="Calibri"/>
      <w:kern w:val="2"/>
      <w:sz w:val="21"/>
      <w:szCs w:val="21"/>
      <w:lang w:val="en-US" w:eastAsia="zh-CN" w:bidi="ar-SA"/>
    </w:rPr>
  </w:style>
  <w:style w:type="paragraph" w:customStyle="1" w:styleId="270">
    <w:name w:val="样式 240 10 磅"/>
    <w:pPr>
      <w:widowControl w:val="0"/>
      <w:jc w:val="both"/>
    </w:pPr>
    <w:rPr>
      <w:rFonts w:ascii="Calibri" w:eastAsia="宋体" w:cs="Calibri" w:hAnsi="Calibri"/>
      <w:kern w:val="2"/>
      <w:sz w:val="21"/>
      <w:szCs w:val="21"/>
      <w:lang w:val="en-US" w:eastAsia="zh-CN" w:bidi="ar-SA"/>
    </w:rPr>
  </w:style>
  <w:style w:type="paragraph" w:customStyle="1" w:styleId="271">
    <w:name w:val="样式 241 10 磅"/>
    <w:pPr>
      <w:widowControl w:val="0"/>
      <w:jc w:val="both"/>
    </w:pPr>
    <w:rPr>
      <w:rFonts w:ascii="Calibri" w:eastAsia="宋体" w:cs="Calibri" w:hAnsi="Calibri"/>
      <w:kern w:val="2"/>
      <w:sz w:val="21"/>
      <w:szCs w:val="21"/>
      <w:lang w:val="en-US" w:eastAsia="zh-CN" w:bidi="ar-SA"/>
    </w:rPr>
  </w:style>
  <w:style w:type="paragraph" w:customStyle="1" w:styleId="272">
    <w:name w:val="样式 242 10 磅"/>
    <w:pPr>
      <w:widowControl w:val="0"/>
      <w:jc w:val="both"/>
    </w:pPr>
    <w:rPr>
      <w:rFonts w:ascii="Calibri" w:eastAsia="宋体" w:cs="Calibri" w:hAnsi="Calibri"/>
      <w:kern w:val="2"/>
      <w:sz w:val="21"/>
      <w:szCs w:val="21"/>
      <w:lang w:val="en-US" w:eastAsia="zh-CN" w:bidi="ar-SA"/>
    </w:rPr>
  </w:style>
  <w:style w:type="paragraph" w:customStyle="1" w:styleId="273">
    <w:name w:val="样式 243 10 磅"/>
    <w:pPr>
      <w:widowControl w:val="0"/>
      <w:jc w:val="both"/>
    </w:pPr>
    <w:rPr>
      <w:rFonts w:ascii="Calibri" w:eastAsia="宋体" w:cs="Calibri" w:hAnsi="Calibri"/>
      <w:kern w:val="2"/>
      <w:sz w:val="21"/>
      <w:szCs w:val="21"/>
      <w:lang w:val="en-US" w:eastAsia="zh-CN" w:bidi="ar-SA"/>
    </w:rPr>
  </w:style>
  <w:style w:type="paragraph" w:customStyle="1" w:styleId="274">
    <w:name w:val="样式 244 10 磅"/>
    <w:pPr>
      <w:widowControl w:val="0"/>
      <w:jc w:val="both"/>
    </w:pPr>
    <w:rPr>
      <w:rFonts w:ascii="Calibri" w:eastAsia="宋体" w:cs="Calibri" w:hAnsi="Calibri"/>
      <w:kern w:val="2"/>
      <w:sz w:val="21"/>
      <w:szCs w:val="21"/>
      <w:lang w:val="en-US" w:eastAsia="zh-CN" w:bidi="ar-SA"/>
    </w:rPr>
  </w:style>
  <w:style w:type="paragraph" w:customStyle="1" w:styleId="275">
    <w:name w:val="样式 245 10 磅"/>
    <w:pPr>
      <w:widowControl w:val="0"/>
      <w:jc w:val="both"/>
    </w:pPr>
    <w:rPr>
      <w:rFonts w:ascii="Calibri" w:eastAsia="宋体" w:cs="Calibri" w:hAnsi="Calibri"/>
      <w:kern w:val="2"/>
      <w:sz w:val="21"/>
      <w:szCs w:val="21"/>
      <w:lang w:val="en-US" w:eastAsia="zh-CN" w:bidi="ar-SA"/>
    </w:rPr>
  </w:style>
  <w:style w:type="paragraph" w:customStyle="1" w:styleId="276">
    <w:name w:val="样式 246 10 磅"/>
    <w:pPr>
      <w:widowControl w:val="0"/>
      <w:jc w:val="both"/>
    </w:pPr>
    <w:rPr>
      <w:rFonts w:ascii="Calibri" w:eastAsia="宋体" w:cs="Calibri" w:hAnsi="Calibri"/>
      <w:kern w:val="2"/>
      <w:sz w:val="21"/>
      <w:szCs w:val="21"/>
      <w:lang w:val="en-US" w:eastAsia="zh-CN" w:bidi="ar-SA"/>
    </w:rPr>
  </w:style>
  <w:style w:type="paragraph" w:customStyle="1" w:styleId="277">
    <w:name w:val="样式 247 10 磅"/>
    <w:pPr>
      <w:widowControl w:val="0"/>
      <w:jc w:val="both"/>
    </w:pPr>
    <w:rPr>
      <w:rFonts w:ascii="Calibri" w:eastAsia="宋体" w:cs="Calibri" w:hAnsi="Calibri"/>
      <w:kern w:val="2"/>
      <w:sz w:val="21"/>
      <w:szCs w:val="21"/>
      <w:lang w:val="en-US" w:eastAsia="zh-CN" w:bidi="ar-SA"/>
    </w:rPr>
  </w:style>
  <w:style w:type="paragraph" w:customStyle="1" w:styleId="278">
    <w:name w:val="样式 248 10 磅"/>
    <w:pPr>
      <w:widowControl w:val="0"/>
      <w:jc w:val="both"/>
    </w:pPr>
    <w:rPr>
      <w:rFonts w:ascii="Calibri" w:eastAsia="宋体" w:cs="Calibri" w:hAnsi="Calibri"/>
      <w:kern w:val="2"/>
      <w:sz w:val="21"/>
      <w:szCs w:val="21"/>
      <w:lang w:val="en-US" w:eastAsia="zh-CN" w:bidi="ar-SA"/>
    </w:rPr>
  </w:style>
  <w:style w:type="paragraph" w:customStyle="1" w:styleId="279">
    <w:name w:val="样式 249 10 磅"/>
    <w:pPr>
      <w:widowControl w:val="0"/>
      <w:jc w:val="both"/>
    </w:pPr>
    <w:rPr>
      <w:rFonts w:ascii="Calibri" w:eastAsia="宋体" w:cs="Calibri" w:hAnsi="Calibri"/>
      <w:kern w:val="2"/>
      <w:sz w:val="21"/>
      <w:szCs w:val="21"/>
      <w:lang w:val="en-US" w:eastAsia="zh-CN" w:bidi="ar-SA"/>
    </w:rPr>
  </w:style>
  <w:style w:type="paragraph" w:customStyle="1" w:styleId="280">
    <w:name w:val="样式 250 10 磅"/>
    <w:pPr>
      <w:widowControl w:val="0"/>
      <w:jc w:val="both"/>
    </w:pPr>
    <w:rPr>
      <w:rFonts w:ascii="Calibri" w:eastAsia="宋体" w:cs="Calibri" w:hAnsi="Calibri"/>
      <w:kern w:val="2"/>
      <w:sz w:val="21"/>
      <w:szCs w:val="21"/>
      <w:lang w:val="en-US" w:eastAsia="zh-CN" w:bidi="ar-SA"/>
    </w:rPr>
  </w:style>
  <w:style w:type="paragraph" w:customStyle="1" w:styleId="281">
    <w:name w:val="样式 251 10 磅"/>
    <w:pPr>
      <w:widowControl w:val="0"/>
      <w:jc w:val="both"/>
    </w:pPr>
    <w:rPr>
      <w:rFonts w:ascii="Calibri" w:eastAsia="宋体" w:cs="Calibri" w:hAnsi="Calibri"/>
      <w:kern w:val="2"/>
      <w:sz w:val="21"/>
      <w:szCs w:val="21"/>
      <w:lang w:val="en-US" w:eastAsia="zh-CN" w:bidi="ar-SA"/>
    </w:rPr>
  </w:style>
  <w:style w:type="paragraph" w:customStyle="1" w:styleId="282">
    <w:name w:val="样式 252 10 磅"/>
    <w:pPr>
      <w:widowControl w:val="0"/>
      <w:jc w:val="both"/>
    </w:pPr>
    <w:rPr>
      <w:rFonts w:ascii="Calibri" w:eastAsia="宋体" w:cs="Calibri" w:hAnsi="Calibri"/>
      <w:kern w:val="2"/>
      <w:sz w:val="21"/>
      <w:szCs w:val="21"/>
      <w:lang w:val="en-US" w:eastAsia="zh-CN" w:bidi="ar-SA"/>
    </w:rPr>
  </w:style>
  <w:style w:type="paragraph" w:customStyle="1" w:styleId="283">
    <w:name w:val="样式 253 10 磅"/>
    <w:pPr>
      <w:widowControl w:val="0"/>
      <w:jc w:val="both"/>
    </w:pPr>
    <w:rPr>
      <w:rFonts w:ascii="Calibri" w:eastAsia="宋体" w:cs="Calibri" w:hAnsi="Calibri"/>
      <w:kern w:val="2"/>
      <w:sz w:val="21"/>
      <w:szCs w:val="21"/>
      <w:lang w:val="en-US" w:eastAsia="zh-CN" w:bidi="ar-SA"/>
    </w:rPr>
  </w:style>
  <w:style w:type="paragraph" w:customStyle="1" w:styleId="284">
    <w:name w:val="样式 254 10 磅"/>
    <w:pPr>
      <w:widowControl w:val="0"/>
      <w:jc w:val="both"/>
    </w:pPr>
    <w:rPr>
      <w:rFonts w:ascii="Calibri" w:eastAsia="宋体" w:cs="Calibri" w:hAnsi="Calibri"/>
      <w:kern w:val="2"/>
      <w:sz w:val="21"/>
      <w:szCs w:val="21"/>
      <w:lang w:val="en-US" w:eastAsia="zh-CN" w:bidi="ar-SA"/>
    </w:rPr>
  </w:style>
  <w:style w:type="paragraph" w:customStyle="1" w:styleId="285">
    <w:name w:val="样式 255 10 磅"/>
    <w:pPr>
      <w:widowControl w:val="0"/>
      <w:jc w:val="both"/>
    </w:pPr>
    <w:rPr>
      <w:rFonts w:ascii="Calibri" w:eastAsia="宋体" w:cs="Calibri" w:hAnsi="Calibri"/>
      <w:kern w:val="2"/>
      <w:sz w:val="21"/>
      <w:szCs w:val="21"/>
      <w:lang w:val="en-US" w:eastAsia="zh-CN" w:bidi="ar-SA"/>
    </w:rPr>
  </w:style>
  <w:style w:type="paragraph" w:customStyle="1" w:styleId="286">
    <w:name w:val="样式 256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CFD12919-FCE7-47CD-943D-52D7AD0E46F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1793</TotalTime>
  <Application>Yozo_Office27021597764231179</Application>
  <Pages>12</Pages>
  <Words>0</Words>
  <Characters>10473</Characters>
  <Lines>0</Lines>
  <Paragraphs>7</Paragraphs>
  <CharactersWithSpaces>13964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郭挺伟</cp:lastModifiedBy>
  <cp:revision>5</cp:revision>
  <dcterms:created xsi:type="dcterms:W3CDTF">2024-01-26T03:30:00Z</dcterms:created>
  <dcterms:modified xsi:type="dcterms:W3CDTF">2026-07-27T01:43:30Z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