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pStyle w:val="17"/>
        <w:autoSpaceDN w:val="0"/>
        <w:spacing w:line="560" w:lineRule="exact"/>
        <w:ind w:firstLineChars="200" w:firstLine="720"/>
        <w:jc w:val="center"/>
        <w:rPr>
          <w:rFonts w:ascii="方正小标宋_GBK" w:eastAsia="方正小标宋_GBK"/>
          <w:color w:val="000000"/>
          <w:sz w:val="36"/>
          <w:szCs w:val="36"/>
        </w:rPr>
      </w:pPr>
    </w:p>
    <w:p>
      <w:pPr>
        <w:pStyle w:val="17"/>
        <w:autoSpaceDN w:val="0"/>
        <w:spacing w:line="560" w:lineRule="exact"/>
        <w:jc w:val="center"/>
        <w:rPr>
          <w:rFonts w:ascii="Times New Roman" w:eastAsia="方正小标宋_GBK" w:cs="Times New Roman" w:hAnsi="Times New Roman"/>
          <w:color w:val="000000"/>
          <w:sz w:val="36"/>
          <w:szCs w:val="36"/>
        </w:rPr>
      </w:pPr>
      <w:r>
        <w:rPr>
          <w:rFonts w:ascii="Times New Roman" w:eastAsia="方正小标宋_GBK" w:cs="Times New Roman" w:hAnsi="Times New Roman"/>
          <w:color w:val="000000"/>
          <w:sz w:val="36"/>
          <w:szCs w:val="36"/>
        </w:rPr>
        <w:t>2026年</w:t>
      </w:r>
      <w:r>
        <w:rPr>
          <w:rFonts w:ascii="Times New Roman" w:eastAsia="方正小标宋_GBK" w:cs="Times New Roman" w:hAnsi="Times New Roman" w:hint="eastAsia"/>
          <w:color w:val="000000"/>
          <w:sz w:val="36"/>
          <w:szCs w:val="36"/>
        </w:rPr>
        <w:t>上半年</w:t>
      </w:r>
      <w:r>
        <w:rPr>
          <w:rFonts w:ascii="Times New Roman" w:eastAsia="方正小标宋_GBK" w:cs="Times New Roman" w:hAnsi="Times New Roman"/>
          <w:color w:val="000000"/>
          <w:sz w:val="36"/>
          <w:szCs w:val="36"/>
        </w:rPr>
        <w:t>湖北省进出口增长6.7%</w:t>
      </w:r>
    </w:p>
    <w:p>
      <w:pPr>
        <w:pStyle w:val="17"/>
        <w:autoSpaceDN w:val="0"/>
        <w:spacing w:line="560" w:lineRule="exact"/>
        <w:jc w:val="center"/>
        <w:rPr>
          <w:rFonts w:ascii="Times New Roman" w:eastAsia="方正仿宋_GBK" w:cs="Times New Roman" w:hAnsi="Times New Roman"/>
          <w:color w:val="000000"/>
          <w:sz w:val="32"/>
          <w:szCs w:val="32"/>
        </w:rPr>
      </w:pPr>
    </w:p>
    <w:p>
      <w:pPr>
        <w:pStyle w:val="17"/>
        <w:autoSpaceDN w:val="0"/>
        <w:spacing w:line="560" w:lineRule="exact"/>
        <w:ind w:firstLineChars="200" w:firstLine="640"/>
        <w:rPr>
          <w:rFonts w:ascii="Times New Roman" w:eastAsia="方正仿宋_GBK" w:cs="Times New Roman" w:hAnsi="Times New Roman"/>
          <w:color w:val="000000"/>
          <w:sz w:val="32"/>
          <w:szCs w:val="32"/>
        </w:rPr>
      </w:pPr>
      <w:bookmarkStart w:id="0" w:name="_GoBack"/>
      <w:bookmarkEnd w:id="0"/>
      <w:r>
        <w:rPr>
          <w:rFonts w:ascii="Times New Roman" w:eastAsia="方正仿宋_GBK" w:cs="Times New Roman" w:hAnsi="Times New Roman" w:hint="eastAsia"/>
          <w:color w:val="000000"/>
          <w:sz w:val="32"/>
          <w:szCs w:val="32"/>
        </w:rPr>
        <w:t>据海关统计，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今年上半年</w:t>
      </w:r>
      <w:r>
        <w:rPr>
          <w:rFonts w:ascii="Times New Roman" w:eastAsia="方正仿宋_GBK" w:cs="Times New Roman" w:hAnsi="Times New Roman" w:hint="eastAsia"/>
          <w:color w:val="000000"/>
          <w:sz w:val="32"/>
          <w:szCs w:val="32"/>
        </w:rPr>
        <w:t>，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湖北省进出口总值4295.9亿元人民币</w:t>
      </w:r>
      <w:r>
        <w:rPr>
          <w:rFonts w:ascii="Times New Roman" w:eastAsia="方正仿宋_GBK" w:cs="Times New Roman" w:hAnsi="Times New Roman" w:hint="eastAsia"/>
          <w:color w:val="000000"/>
          <w:sz w:val="32"/>
          <w:szCs w:val="32"/>
        </w:rPr>
        <w:t>（下同）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，</w:t>
      </w:r>
      <w:r>
        <w:rPr>
          <w:rFonts w:ascii="Times New Roman" w:eastAsia="方正仿宋_GBK" w:cs="Times New Roman" w:hAnsi="Times New Roman" w:hint="eastAsia"/>
          <w:color w:val="000000"/>
          <w:sz w:val="32"/>
          <w:szCs w:val="32"/>
        </w:rPr>
        <w:t>增长（同比，下同）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6.7</w:t>
      </w:r>
      <w:r>
        <w:rPr>
          <w:rFonts w:ascii="Times New Roman" w:eastAsia="方正仿宋_GBK" w:cs="Times New Roman" w:hAnsi="Times New Roman" w:hint="eastAsia"/>
          <w:color w:val="000000"/>
          <w:sz w:val="32"/>
          <w:szCs w:val="32"/>
        </w:rPr>
        <w:t>%。</w:t>
      </w:r>
    </w:p>
    <w:p>
      <w:pPr>
        <w:pStyle w:val="17"/>
        <w:autoSpaceDN w:val="0"/>
        <w:spacing w:line="560" w:lineRule="exact"/>
        <w:ind w:firstLineChars="200" w:firstLine="640"/>
        <w:jc w:val="both"/>
        <w:rPr>
          <w:rFonts w:ascii="方正黑体_GBK" w:eastAsia="方正黑体_GBK" w:cs="Times New Roman"/>
          <w:color w:val="000000"/>
          <w:sz w:val="32"/>
          <w:szCs w:val="32"/>
        </w:rPr>
      </w:pPr>
      <w:r>
        <w:rPr>
          <w:rFonts w:ascii="方正黑体_GBK" w:eastAsia="方正黑体_GBK" w:cs="Times New Roman" w:hint="eastAsia"/>
          <w:color w:val="000000"/>
          <w:sz w:val="32"/>
          <w:szCs w:val="32"/>
        </w:rPr>
        <w:t>今年上半年湖北省进出口主要特点：</w:t>
      </w:r>
    </w:p>
    <w:p>
      <w:pPr>
        <w:pStyle w:val="19"/>
        <w:autoSpaceDN w:val="0"/>
        <w:spacing w:line="560" w:lineRule="exact"/>
        <w:ind w:firstLineChars="196" w:firstLine="627"/>
        <w:rPr>
          <w:rFonts w:eastAsia="方正仿宋_GBK" w:hint="eastAsia"/>
          <w:b/>
          <w:bCs/>
          <w:kern w:val="2"/>
          <w:sz w:val="32"/>
          <w:szCs w:val="32"/>
          <w:lang w:val="en-US" w:eastAsia="zh-CN"/>
        </w:rPr>
      </w:pPr>
      <w:r>
        <w:rPr>
          <w:rFonts w:ascii="方正楷体_GBK" w:eastAsia="方正楷体_GBK" w:hint="eastAsia"/>
          <w:b/>
          <w:bCs/>
          <w:sz w:val="32"/>
          <w:szCs w:val="32"/>
        </w:rPr>
        <w:t>经营主体</w:t>
      </w:r>
      <w:r>
        <w:rPr>
          <w:rFonts w:ascii="方正楷体_GBK" w:eastAsia="方正楷体_GBK"/>
          <w:b/>
          <w:bCs/>
          <w:sz w:val="32"/>
          <w:szCs w:val="32"/>
        </w:rPr>
        <w:t>活跃度高</w:t>
      </w:r>
      <w:r>
        <w:rPr>
          <w:rFonts w:ascii="方正楷体_GBK" w:eastAsia="方正楷体_GBK" w:hint="eastAsia"/>
          <w:b/>
          <w:bCs/>
          <w:sz w:val="32"/>
          <w:szCs w:val="32"/>
        </w:rPr>
        <w:t>。</w:t>
      </w:r>
      <w:r>
        <w:rPr>
          <w:rFonts w:eastAsia="方正仿宋_GBK"/>
          <w:sz w:val="32"/>
          <w:szCs w:val="32"/>
        </w:rPr>
        <w:t>上半年，</w:t>
      </w:r>
      <w:r>
        <w:rPr>
          <w:rFonts w:eastAsia="方正仿宋_GBK" w:cs="方正仿宋_GBK" w:hint="eastAsia"/>
          <w:sz w:val="32"/>
          <w:szCs w:val="32"/>
          <w:lang w:bidi="ar-SA"/>
        </w:rPr>
        <w:t>湖北省有进出口实绩的外贸企业</w:t>
      </w:r>
      <w:r>
        <w:rPr>
          <w:rFonts w:eastAsia="方正仿宋_GBK" w:cs="方正仿宋_GBK"/>
          <w:sz w:val="32"/>
          <w:szCs w:val="32"/>
          <w:lang w:bidi="ar-SA"/>
        </w:rPr>
        <w:t>数量达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9973</w:t>
      </w:r>
      <w:r>
        <w:rPr>
          <w:rFonts w:eastAsia="方正仿宋_GBK" w:cs="方正仿宋_GBK" w:hint="eastAsia"/>
          <w:sz w:val="32"/>
          <w:szCs w:val="32"/>
          <w:lang w:bidi="ar-SA"/>
        </w:rPr>
        <w:t>家，较</w:t>
      </w:r>
      <w:r>
        <w:rPr>
          <w:rFonts w:eastAsia="方正仿宋_GBK" w:cs="方正仿宋_GBK"/>
          <w:sz w:val="32"/>
          <w:szCs w:val="32"/>
          <w:lang w:bidi="ar-SA"/>
        </w:rPr>
        <w:t>去年同期增加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1604家</w:t>
      </w:r>
      <w:r>
        <w:rPr>
          <w:rFonts w:ascii="Times New Roman" w:eastAsia="方正仿宋_GBK" w:cs="方正仿宋_GBK" w:hAnsi="Times New Roman" w:hint="eastAsia"/>
          <w:sz w:val="32"/>
          <w:szCs w:val="32"/>
          <w:lang w:bidi="ar-SA"/>
        </w:rPr>
        <w:t>。</w:t>
      </w:r>
      <w:r>
        <w:rPr>
          <w:rFonts w:ascii="Times New Roman" w:eastAsia="方正仿宋_GBK" w:hAnsi="Times New Roman"/>
          <w:bCs/>
          <w:sz w:val="32"/>
          <w:szCs w:val="2"/>
        </w:rPr>
        <w:t>其中，民营企业数量超9000家，进出口</w:t>
      </w:r>
      <w:r>
        <w:rPr>
          <w:rFonts w:ascii="Times New Roman" w:hAnsi="Times New Roman"/>
          <w:sz w:val="32"/>
          <w:szCs w:val="32"/>
        </w:rPr>
        <w:t>2650.1</w:t>
      </w:r>
      <w:r>
        <w:rPr>
          <w:rFonts w:ascii="Times New Roman" w:eastAsia="方正仿宋_GBK" w:hAnsi="Times New Roman"/>
          <w:bCs/>
          <w:sz w:val="32"/>
          <w:szCs w:val="2"/>
        </w:rPr>
        <w:t>亿元，占同期湖北省进出口总值的（下同）61.7%；</w:t>
      </w:r>
      <w:r>
        <w:rPr>
          <w:rFonts w:eastAsia="方正仿宋_GBK"/>
          <w:bCs/>
          <w:sz w:val="32"/>
          <w:szCs w:val="2"/>
        </w:rPr>
        <w:t>国有企业、外商投资企业分别进出口</w:t>
      </w:r>
      <w:r>
        <w:rPr>
          <w:rFonts w:ascii="Times New Roman" w:eastAsia="方正仿宋_GBK" w:cs="Times New Roman" w:hAnsi="Times New Roman"/>
          <w:bCs/>
          <w:sz w:val="32"/>
          <w:szCs w:val="2"/>
          <w:lang w:bidi="ar-SA"/>
        </w:rPr>
        <w:t>916亿、727.7亿</w:t>
      </w:r>
      <w:r>
        <w:rPr>
          <w:rFonts w:eastAsia="方正仿宋_GBK"/>
          <w:bCs/>
          <w:sz w:val="32"/>
          <w:szCs w:val="2"/>
        </w:rPr>
        <w:t>元，分别增长</w:t>
      </w:r>
      <w:r>
        <w:rPr>
          <w:rFonts w:ascii="Times New Roman" w:eastAsia="方正仿宋_GBK" w:hAnsi="Times New Roman"/>
          <w:bCs/>
          <w:sz w:val="32"/>
          <w:szCs w:val="2"/>
        </w:rPr>
        <w:t>47.9%、34.4%，分别占21.3%、16.9%</w:t>
      </w:r>
      <w:r>
        <w:rPr>
          <w:rFonts w:ascii="Times New Roman" w:hAnsi="Times New Roman"/>
          <w:kern w:val="0"/>
          <w:szCs w:val="32"/>
          <w:lang w:val="zh-CN" w:eastAsia="zh-CN"/>
        </w:rPr>
        <w:t>。</w:t>
      </w:r>
      <w:r>
        <w:rPr>
          <w:rFonts w:ascii="Times New Roman" w:eastAsia="方正仿宋_GBK" w:hAnsi="Times New Roman" w:hint="eastAsia"/>
          <w:kern w:val="0"/>
          <w:sz w:val="32"/>
          <w:szCs w:val="32"/>
          <w:lang w:val="zh-CN" w:eastAsia="zh-CN"/>
        </w:rPr>
        <w:t>同</w:t>
      </w:r>
      <w:r>
        <w:rPr>
          <w:rFonts w:ascii="方正仿宋_GBK" w:eastAsia="方正仿宋_GBK" w:hint="eastAsia"/>
          <w:kern w:val="0"/>
          <w:sz w:val="32"/>
          <w:szCs w:val="32"/>
          <w:lang w:val="zh-CN" w:eastAsia="zh-CN"/>
        </w:rPr>
        <w:t>期，国家级专</w:t>
      </w:r>
      <w:r>
        <w:rPr>
          <w:rFonts w:eastAsia="方正仿宋_GBK" w:hint="eastAsia"/>
          <w:kern w:val="0"/>
          <w:sz w:val="32"/>
          <w:szCs w:val="32"/>
          <w:lang w:val="zh-CN" w:eastAsia="zh-CN"/>
        </w:rPr>
        <w:t>精特新“小巨人”企业进出口</w:t>
      </w:r>
      <w:r>
        <w:rPr>
          <w:rFonts w:eastAsia="方正仿宋_GBK"/>
          <w:kern w:val="0"/>
          <w:sz w:val="32"/>
          <w:szCs w:val="32"/>
          <w:lang w:val="zh-CN" w:eastAsia="zh-CN"/>
        </w:rPr>
        <w:t>136.3亿元，</w:t>
      </w:r>
      <w:r>
        <w:rPr>
          <w:rFonts w:eastAsia="方正仿宋_GBK" w:hint="eastAsia"/>
          <w:kern w:val="0"/>
          <w:sz w:val="32"/>
          <w:szCs w:val="32"/>
          <w:lang w:val="zh-CN" w:eastAsia="zh-CN"/>
        </w:rPr>
        <w:t>增长</w:t>
      </w:r>
      <w:r>
        <w:rPr>
          <w:rFonts w:ascii="Times New Roman" w:eastAsia="方正仿宋_GBK" w:cs="Times New Roman" w:hAnsi="Times New Roman"/>
          <w:kern w:val="0"/>
          <w:sz w:val="32"/>
          <w:szCs w:val="32"/>
          <w:lang w:val="zh-CN" w:eastAsia="zh-CN" w:bidi="ar-SA"/>
        </w:rPr>
        <w:t>21.7%，较整体增速高15个百分点</w:t>
      </w:r>
      <w:r>
        <w:rPr>
          <w:rFonts w:eastAsia="方正仿宋_GBK" w:hint="eastAsia"/>
          <w:kern w:val="0"/>
          <w:sz w:val="32"/>
          <w:szCs w:val="32"/>
          <w:lang w:val="zh-CN" w:eastAsia="zh-CN"/>
        </w:rPr>
        <w:t>。</w:t>
      </w:r>
    </w:p>
    <w:p>
      <w:pPr>
        <w:pStyle w:val="56"/>
        <w:autoSpaceDN w:val="0"/>
        <w:adjustRightInd w:val="0"/>
        <w:snapToGrid w:val="0"/>
        <w:spacing w:line="560" w:lineRule="exact"/>
        <w:ind w:firstLineChars="200" w:firstLine="640"/>
        <w:rPr>
          <w:rFonts w:ascii="Times New Roman" w:eastAsia="方正仿宋_GBK" w:cs="方正仿宋_GBK" w:hAnsi="Times New Roman"/>
          <w:sz w:val="32"/>
          <w:szCs w:val="32"/>
        </w:rPr>
      </w:pPr>
      <w:r>
        <w:rPr>
          <w:rFonts w:ascii="Times New Roman" w:eastAsia="方正楷体_GBK" w:hAnsi="Times New Roman"/>
          <w:b/>
          <w:bCs/>
          <w:sz w:val="32"/>
          <w:szCs w:val="2"/>
        </w:rPr>
        <w:t>贸易伙伴多元开拓</w:t>
      </w:r>
      <w:r>
        <w:rPr>
          <w:rFonts w:ascii="Times New Roman" w:eastAsia="方正楷体_GBK" w:hAnsi="Times New Roman" w:hint="eastAsia"/>
          <w:b/>
          <w:bCs/>
          <w:sz w:val="32"/>
          <w:szCs w:val="2"/>
        </w:rPr>
        <w:t>。</w:t>
      </w:r>
      <w:r>
        <w:rPr>
          <w:rFonts w:ascii="Times New Roman" w:eastAsia="方正仿宋_GBK" w:hAnsi="Times New Roman" w:hint="eastAsia"/>
          <w:color w:val="000000"/>
          <w:sz w:val="32"/>
          <w:szCs w:val="32"/>
        </w:rPr>
        <w:t>上半年，</w:t>
      </w:r>
      <w:r>
        <w:rPr>
          <w:rFonts w:ascii="Times New Roman" w:eastAsia="方正仿宋_GBK" w:hAnsi="Times New Roman"/>
          <w:color w:val="000000"/>
          <w:sz w:val="32"/>
          <w:szCs w:val="32"/>
        </w:rPr>
        <w:t>湖北省共计与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226</w:t>
      </w:r>
      <w:r>
        <w:rPr>
          <w:rFonts w:ascii="Times New Roman" w:eastAsia="方正仿宋_GBK" w:hAnsi="Times New Roman"/>
          <w:color w:val="000000"/>
          <w:sz w:val="32"/>
          <w:szCs w:val="32"/>
        </w:rPr>
        <w:t>个国家和地区有贸易往来，对超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100</w:t>
      </w:r>
      <w:r>
        <w:rPr>
          <w:rFonts w:ascii="Times New Roman" w:eastAsia="方正仿宋_GBK" w:hAnsi="Times New Roman"/>
          <w:color w:val="000000"/>
          <w:sz w:val="32"/>
          <w:szCs w:val="32"/>
        </w:rPr>
        <w:t>个国家和地区进出口实现增长。对欧盟、中国香港分别进出口672.7亿、489.5亿元，分别增长30.4%、150.4%</w:t>
      </w:r>
      <w:r>
        <w:rPr>
          <w:rFonts w:ascii="Times New Roman" w:eastAsia="方正仿宋_GBK" w:hAnsi="Times New Roman" w:hint="eastAsia"/>
          <w:color w:val="000000"/>
          <w:sz w:val="32"/>
          <w:szCs w:val="32"/>
        </w:rPr>
        <w:t>。</w:t>
      </w:r>
      <w:r>
        <w:rPr>
          <w:rFonts w:ascii="Times New Roman" w:eastAsia="方正仿宋_GBK" w:cs="方正仿宋_GBK" w:hAnsi="Times New Roman" w:hint="eastAsia"/>
          <w:sz w:val="32"/>
          <w:szCs w:val="32"/>
          <w:lang w:bidi="ar-SA"/>
        </w:rPr>
        <w:t>对拉美、</w:t>
      </w:r>
      <w:r>
        <w:rPr>
          <w:rFonts w:ascii="Times New Roman" w:eastAsia="方正仿宋_GBK" w:cs="方正仿宋_GBK" w:hAnsi="Times New Roman"/>
          <w:sz w:val="32"/>
          <w:szCs w:val="32"/>
          <w:lang w:bidi="ar-SA"/>
        </w:rPr>
        <w:t>俄罗斯、中亚</w:t>
      </w:r>
      <w:r>
        <w:rPr>
          <w:rFonts w:ascii="Times New Roman" w:eastAsia="方正仿宋_GBK" w:cs="方正仿宋_GBK" w:hAnsi="Times New Roman" w:hint="eastAsia"/>
          <w:sz w:val="32"/>
          <w:szCs w:val="32"/>
          <w:lang w:bidi="ar-SA"/>
        </w:rPr>
        <w:t>等新兴市场</w:t>
      </w:r>
      <w:r>
        <w:rPr>
          <w:rFonts w:ascii="Times New Roman" w:eastAsia="方正仿宋_GBK" w:cs="方正仿宋_GBK" w:hAnsi="Times New Roman"/>
          <w:sz w:val="32"/>
          <w:szCs w:val="32"/>
          <w:lang w:bidi="ar-SA"/>
        </w:rPr>
        <w:t>进出口分别增长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12.4%</w:t>
      </w:r>
      <w:r>
        <w:rPr>
          <w:rFonts w:ascii="Times New Roman" w:eastAsia="方正仿宋_GBK" w:cs="方正仿宋_GBK" w:hAnsi="Times New Roman"/>
          <w:sz w:val="32"/>
          <w:szCs w:val="32"/>
          <w:lang w:bidi="ar-SA"/>
        </w:rPr>
        <w:t>、42.2%、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33.1%</w:t>
      </w:r>
      <w:r>
        <w:rPr>
          <w:rFonts w:ascii="Times New Roman" w:eastAsia="方正仿宋_GBK" w:cs="方正仿宋_GBK" w:hAnsi="Times New Roman"/>
          <w:sz w:val="32"/>
          <w:szCs w:val="32"/>
          <w:lang w:bidi="ar-SA"/>
        </w:rPr>
        <w:t>。</w:t>
      </w:r>
    </w:p>
    <w:p>
      <w:pPr>
        <w:pStyle w:val="58"/>
        <w:autoSpaceDN w:val="0"/>
        <w:spacing w:line="560" w:lineRule="exact"/>
        <w:ind w:firstLineChars="196" w:firstLine="627"/>
        <w:rPr>
          <w:lang w:val="zh-CN"/>
        </w:rPr>
      </w:pPr>
      <w:r>
        <w:rPr>
          <w:rFonts w:eastAsia="方正楷体_GBK" w:cs="Times New Roman"/>
          <w:b/>
          <w:bCs/>
          <w:sz w:val="32"/>
          <w:szCs w:val="2"/>
        </w:rPr>
        <w:t>多极格局有序推进</w:t>
      </w:r>
      <w:r>
        <w:rPr>
          <w:rFonts w:eastAsia="方正楷体_GBK" w:hint="eastAsia"/>
          <w:b/>
          <w:bCs/>
          <w:sz w:val="32"/>
          <w:szCs w:val="2"/>
        </w:rPr>
        <w:t>。</w:t>
      </w:r>
      <w:r>
        <w:rPr>
          <w:rFonts w:eastAsia="方正仿宋_GBK" w:hint="eastAsia"/>
          <w:color w:val="000000"/>
          <w:sz w:val="32"/>
          <w:szCs w:val="32"/>
        </w:rPr>
        <w:t>上半年，武汉市进出口</w:t>
      </w:r>
      <w:r>
        <w:rPr>
          <w:rFonts w:eastAsia="方正仿宋_GBK" w:cs="Times New Roman"/>
          <w:color w:val="000000"/>
          <w:sz w:val="32"/>
          <w:szCs w:val="32"/>
        </w:rPr>
        <w:t>2593.2</w:t>
      </w:r>
      <w:r>
        <w:rPr>
          <w:rFonts w:eastAsia="方正仿宋_GBK" w:hint="eastAsia"/>
          <w:color w:val="000000"/>
          <w:sz w:val="32"/>
          <w:szCs w:val="32"/>
        </w:rPr>
        <w:t>亿元，增长</w:t>
      </w:r>
      <w:r>
        <w:rPr>
          <w:rFonts w:eastAsia="方正仿宋_GBK" w:cs="Times New Roman"/>
          <w:color w:val="000000"/>
          <w:sz w:val="32"/>
          <w:szCs w:val="32"/>
        </w:rPr>
        <w:t>21.2%</w:t>
      </w:r>
      <w:r>
        <w:rPr>
          <w:rFonts w:eastAsia="方正仿宋_GBK" w:hint="eastAsia"/>
          <w:color w:val="000000"/>
          <w:sz w:val="32"/>
          <w:szCs w:val="32"/>
        </w:rPr>
        <w:t>，</w:t>
      </w:r>
      <w:r>
        <w:rPr>
          <w:rFonts w:eastAsia="方正仿宋_GBK" w:cs="Times New Roman"/>
          <w:color w:val="000000"/>
          <w:sz w:val="32"/>
          <w:szCs w:val="32"/>
          <w:lang w:bidi="ar-SA"/>
        </w:rPr>
        <w:t>占60.4%，</w:t>
      </w:r>
      <w:r>
        <w:rPr>
          <w:rFonts w:eastAsia="方正仿宋_GBK"/>
          <w:kern w:val="0"/>
          <w:sz w:val="32"/>
          <w:szCs w:val="32"/>
          <w:lang w:val="zh-CN" w:eastAsia="zh-CN"/>
        </w:rPr>
        <w:t>拉高同期湖北省进出口增速</w:t>
      </w:r>
      <w:r>
        <w:rPr>
          <w:rFonts w:ascii="Times New Roman" w:eastAsia="方正仿宋_GBK" w:cs="Times New Roman" w:hAnsi="Times New Roman"/>
          <w:kern w:val="0"/>
          <w:sz w:val="32"/>
          <w:szCs w:val="32"/>
          <w:lang w:val="zh-CN" w:eastAsia="zh-CN" w:bidi="ar-SA"/>
        </w:rPr>
        <w:t>11.2</w:t>
      </w:r>
      <w:r>
        <w:rPr>
          <w:rFonts w:eastAsia="方正仿宋_GBK"/>
          <w:kern w:val="0"/>
          <w:sz w:val="32"/>
          <w:szCs w:val="32"/>
          <w:lang w:val="zh-CN" w:eastAsia="zh-CN"/>
        </w:rPr>
        <w:t>个百分点</w:t>
      </w:r>
      <w:r>
        <w:t>。</w:t>
      </w:r>
      <w:r>
        <w:rPr>
          <w:lang w:val="zh-CN" w:eastAsia="zh-CN"/>
        </w:rPr>
        <w:t>黄石依托金属冶炼及电子信息产业、鄂州依托物流枢纽优势，</w:t>
      </w:r>
      <w:r>
        <w:rPr>
          <w:rFonts w:hint="eastAsia"/>
          <w:lang w:val="zh-CN" w:eastAsia="zh-CN"/>
        </w:rPr>
        <w:t>进出口值</w:t>
      </w:r>
      <w:r>
        <w:rPr>
          <w:lang w:val="zh-CN" w:eastAsia="zh-CN"/>
        </w:rPr>
        <w:t>分别</w:t>
      </w:r>
      <w:r>
        <w:rPr>
          <w:rFonts w:hint="eastAsia"/>
          <w:lang w:val="zh-CN" w:eastAsia="zh-CN"/>
        </w:rPr>
        <w:t>突破</w:t>
      </w:r>
      <w:r>
        <w:rPr>
          <w:lang w:val="zh-CN" w:eastAsia="zh-CN"/>
        </w:rPr>
        <w:t>400</w:t>
      </w:r>
      <w:r>
        <w:rPr>
          <w:rFonts w:hint="eastAsia"/>
          <w:lang w:val="zh-CN" w:eastAsia="zh-CN"/>
        </w:rPr>
        <w:t>亿</w:t>
      </w:r>
      <w:r>
        <w:rPr>
          <w:lang w:val="zh-CN" w:eastAsia="zh-CN"/>
        </w:rPr>
        <w:t>、250亿元</w:t>
      </w:r>
      <w:r>
        <w:rPr>
          <w:rFonts w:hint="eastAsia"/>
          <w:lang w:val="zh-CN" w:eastAsia="zh-CN"/>
        </w:rPr>
        <w:t>，均创历史同期新高</w:t>
      </w:r>
      <w:r>
        <w:rPr>
          <w:lang w:val="zh-CN" w:eastAsia="zh-CN"/>
        </w:rPr>
        <w:t>。同期，鄂州、仙桃、武汉、黄石、随州</w:t>
      </w:r>
      <w:r>
        <w:rPr>
          <w:rFonts w:hint="eastAsia"/>
          <w:lang w:val="zh-CN" w:eastAsia="zh-CN"/>
        </w:rPr>
        <w:t>增速居各市州前</w:t>
      </w:r>
      <w:r>
        <w:rPr>
          <w:lang w:val="zh-CN" w:eastAsia="zh-CN"/>
        </w:rPr>
        <w:t>五，分别增长55%、28.8%、21.2%、15%、8.2%</w:t>
      </w:r>
      <w:r>
        <w:rPr>
          <w:rFonts w:eastAsia="方正仿宋_GBK" w:cs="Times New Roman" w:hint="eastAsia"/>
          <w:bCs/>
          <w:sz w:val="32"/>
          <w:szCs w:val="32"/>
        </w:rPr>
        <w:t>。</w:t>
      </w:r>
    </w:p>
    <w:p>
      <w:pPr>
        <w:pStyle w:val="28"/>
        <w:autoSpaceDN w:val="0"/>
        <w:adjustRightInd w:val="0"/>
        <w:snapToGrid w:val="0"/>
        <w:spacing w:line="560" w:lineRule="exact"/>
        <w:ind w:firstLineChars="200" w:firstLine="640"/>
        <w:rPr>
          <w:rFonts w:ascii="Times New Roman" w:eastAsia="方正仿宋_GBK" w:cs="Times New Roman" w:hAnsi="Times New Roman"/>
          <w:color w:val="000000"/>
          <w:sz w:val="32"/>
          <w:szCs w:val="32"/>
        </w:rPr>
      </w:pPr>
      <w:r>
        <w:rPr>
          <w:rFonts w:ascii="Times New Roman" w:eastAsia="方正楷体_GBK" w:cs="Times New Roman" w:hAnsi="Times New Roman" w:hint="eastAsia"/>
          <w:b/>
          <w:bCs/>
          <w:sz w:val="32"/>
          <w:szCs w:val="2"/>
        </w:rPr>
        <w:t>出口</w:t>
      </w:r>
      <w:r>
        <w:rPr>
          <w:rFonts w:ascii="Times New Roman" w:eastAsia="方正楷体_GBK" w:cs="Times New Roman" w:hAnsi="Times New Roman"/>
          <w:b/>
          <w:bCs/>
          <w:sz w:val="32"/>
          <w:szCs w:val="2"/>
        </w:rPr>
        <w:t>结构向新向绿</w:t>
      </w:r>
      <w:r>
        <w:rPr>
          <w:rFonts w:ascii="Times New Roman" w:eastAsia="方正楷体_GBK" w:cs="Times New Roman" w:hAnsi="Times New Roman" w:hint="eastAsia"/>
          <w:b/>
          <w:bCs/>
          <w:sz w:val="32"/>
          <w:szCs w:val="2"/>
        </w:rPr>
        <w:t>。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上半年</w:t>
      </w:r>
      <w:r>
        <w:rPr>
          <w:rFonts w:ascii="Times New Roman" w:eastAsia="方正仿宋_GBK" w:cs="Times New Roman" w:hAnsi="Times New Roman" w:hint="eastAsia"/>
          <w:color w:val="000000"/>
          <w:sz w:val="32"/>
          <w:szCs w:val="32"/>
        </w:rPr>
        <w:t>，湖北省出口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高新技术</w:t>
      </w:r>
      <w:r>
        <w:rPr>
          <w:rFonts w:ascii="Times New Roman" w:eastAsia="方正仿宋_GBK" w:cs="Times New Roman" w:hAnsi="Times New Roman" w:hint="eastAsia"/>
          <w:color w:val="000000"/>
          <w:sz w:val="32"/>
          <w:szCs w:val="32"/>
        </w:rPr>
        <w:t>产品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1092.6</w:t>
      </w:r>
      <w:r>
        <w:rPr>
          <w:rFonts w:ascii="Times New Roman" w:eastAsia="方正仿宋_GBK" w:cs="Times New Roman" w:hAnsi="Times New Roman" w:hint="eastAsia"/>
          <w:color w:val="000000"/>
          <w:sz w:val="32"/>
          <w:szCs w:val="32"/>
        </w:rPr>
        <w:t>亿元，增长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58.7</w:t>
      </w:r>
      <w:r>
        <w:rPr>
          <w:rFonts w:ascii="Times New Roman" w:eastAsia="方正仿宋_GBK" w:cs="Times New Roman" w:hAnsi="Times New Roman" w:hint="eastAsia"/>
          <w:color w:val="000000"/>
          <w:sz w:val="32"/>
          <w:szCs w:val="32"/>
        </w:rPr>
        <w:t>%，占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同期湖北省出口总值的比重提升15.1个百分点至38.7</w:t>
      </w:r>
      <w:r>
        <w:rPr>
          <w:rFonts w:ascii="Times New Roman" w:eastAsia="方正仿宋_GBK" w:cs="Times New Roman" w:hAnsi="Times New Roman" w:hint="eastAsia"/>
          <w:color w:val="000000"/>
          <w:sz w:val="32"/>
          <w:szCs w:val="32"/>
        </w:rPr>
        <w:t>%。其中，受AI算力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需求</w:t>
      </w:r>
      <w:r>
        <w:rPr>
          <w:rFonts w:ascii="Times New Roman" w:eastAsia="方正仿宋_GBK" w:cs="Times New Roman" w:hAnsi="Times New Roman" w:hint="eastAsia"/>
          <w:color w:val="000000"/>
          <w:sz w:val="32"/>
          <w:szCs w:val="32"/>
        </w:rPr>
        <w:t>拉动，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集成电路、电脑零部件、光模块分别出口451.8亿、127.9亿、23.1亿</w:t>
      </w:r>
      <w:r>
        <w:rPr>
          <w:rFonts w:ascii="Times New Roman" w:eastAsia="方正仿宋_GBK" w:cs="Times New Roman" w:hAnsi="Times New Roman" w:hint="eastAsia"/>
          <w:color w:val="000000"/>
          <w:sz w:val="32"/>
          <w:szCs w:val="32"/>
        </w:rPr>
        <w:t>元，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分别</w:t>
      </w:r>
      <w:r>
        <w:rPr>
          <w:rFonts w:ascii="Times New Roman" w:eastAsia="方正仿宋_GBK" w:cs="Times New Roman" w:hAnsi="Times New Roman" w:hint="eastAsia"/>
          <w:color w:val="000000"/>
          <w:sz w:val="32"/>
          <w:szCs w:val="32"/>
        </w:rPr>
        <w:t>增长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285.9%</w:t>
      </w:r>
      <w:r>
        <w:rPr>
          <w:rFonts w:ascii="Times New Roman" w:eastAsia="方正仿宋_GBK" w:cs="Times New Roman" w:hAnsi="Times New Roman" w:hint="eastAsia"/>
          <w:color w:val="000000"/>
          <w:sz w:val="32"/>
          <w:szCs w:val="32"/>
        </w:rPr>
        <w:t>、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25.9%、20.1%。同期，锂离子蓄电池、电动汽车</w:t>
      </w:r>
      <w:r>
        <w:rPr>
          <w:rFonts w:ascii="Times New Roman" w:eastAsia="方正仿宋_GBK" w:cs="Times New Roman" w:hAnsi="Times New Roman" w:hint="eastAsia"/>
          <w:color w:val="000000"/>
          <w:sz w:val="32"/>
          <w:szCs w:val="32"/>
        </w:rPr>
        <w:t>、风力发电机组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及其零件</w:t>
      </w:r>
      <w:r>
        <w:rPr>
          <w:rFonts w:ascii="Times New Roman" w:eastAsia="方正仿宋_GBK" w:cs="Times New Roman" w:hAnsi="Times New Roman" w:hint="eastAsia"/>
          <w:color w:val="000000"/>
          <w:sz w:val="32"/>
          <w:szCs w:val="32"/>
        </w:rPr>
        <w:t>等绿色产品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出口分别增长125.1%、109.6%、62.1%。</w:t>
      </w:r>
    </w:p>
    <w:p>
      <w:pPr>
        <w:pStyle w:val="60"/>
        <w:overflowPunct w:val="0"/>
        <w:textAlignment w:val="center"/>
        <w:rPr>
          <w:rFonts w:eastAsia="方正仿宋_GBK"/>
          <w:b w:val="0"/>
          <w:bCs w:val="0"/>
          <w:sz w:val="32"/>
          <w:szCs w:val="32"/>
        </w:rPr>
      </w:pPr>
      <w:r>
        <w:rPr>
          <w:rFonts w:eastAsia="方正楷体_GBK" w:cs="Times New Roman" w:hint="eastAsia"/>
          <w:b/>
          <w:bCs/>
          <w:color w:val="000000"/>
          <w:sz w:val="32"/>
          <w:szCs w:val="32"/>
        </w:rPr>
        <w:t>进口</w:t>
      </w:r>
      <w:r>
        <w:rPr>
          <w:rFonts w:eastAsia="方正楷体_GBK" w:cs="Times New Roman"/>
          <w:b/>
          <w:bCs/>
          <w:color w:val="000000"/>
          <w:sz w:val="32"/>
          <w:szCs w:val="32"/>
        </w:rPr>
        <w:t>商品扩容提质</w:t>
      </w:r>
      <w:r>
        <w:rPr>
          <w:rFonts w:eastAsia="方正楷体_GBK" w:hint="eastAsia"/>
          <w:b/>
          <w:bCs/>
          <w:sz w:val="32"/>
          <w:szCs w:val="2"/>
        </w:rPr>
        <w:t>。</w:t>
      </w:r>
      <w:r>
        <w:rPr>
          <w:rFonts w:eastAsia="方正仿宋_GBK" w:hint="eastAsia"/>
          <w:sz w:val="32"/>
          <w:szCs w:val="2"/>
        </w:rPr>
        <w:t>上半年，</w:t>
      </w:r>
      <w:r>
        <w:rPr>
          <w:rFonts w:eastAsia="方正仿宋_GBK"/>
          <w:sz w:val="32"/>
          <w:szCs w:val="2"/>
        </w:rPr>
        <w:t>湖北省进口</w:t>
      </w:r>
      <w:r>
        <w:rPr>
          <w:rFonts w:eastAsia="方正仿宋_GBK" w:cs="Times New Roman" w:hint="eastAsia"/>
          <w:bCs/>
          <w:sz w:val="32"/>
          <w:szCs w:val="32"/>
        </w:rPr>
        <w:t>大宗商品</w:t>
      </w:r>
      <w:r>
        <w:rPr>
          <w:rFonts w:eastAsia="方正仿宋_GBK" w:cs="Times New Roman"/>
          <w:bCs/>
          <w:sz w:val="32"/>
          <w:szCs w:val="32"/>
        </w:rPr>
        <w:t>456.9亿元，增长23.2%，占同期湖北省进口总值的31.1%</w:t>
      </w:r>
      <w:r>
        <w:rPr>
          <w:rFonts w:eastAsia="方正仿宋_GBK" w:cs="Times New Roman"/>
          <w:color w:val="000000"/>
          <w:sz w:val="32"/>
          <w:szCs w:val="32"/>
        </w:rPr>
        <w:t>。</w:t>
      </w:r>
      <w:r>
        <w:rPr>
          <w:rFonts w:eastAsia="方正仿宋_GBK" w:hint="eastAsia"/>
          <w:kern w:val="0"/>
          <w:sz w:val="32"/>
          <w:szCs w:val="32"/>
        </w:rPr>
        <w:t>其中，铜矿砂、铁矿砂、煤炭分别进口</w:t>
      </w:r>
      <w:r>
        <w:rPr>
          <w:rFonts w:eastAsia="方正仿宋_GBK" w:cs="Times New Roman"/>
          <w:kern w:val="0"/>
          <w:sz w:val="32"/>
          <w:szCs w:val="32"/>
        </w:rPr>
        <w:t>235.9亿、96.8亿、66.9亿元</w:t>
      </w:r>
      <w:r>
        <w:rPr>
          <w:rFonts w:eastAsia="方正仿宋_GBK" w:hint="eastAsia"/>
          <w:kern w:val="0"/>
          <w:sz w:val="32"/>
          <w:szCs w:val="32"/>
        </w:rPr>
        <w:t>，分别增长</w:t>
      </w:r>
      <w:r>
        <w:rPr>
          <w:rFonts w:eastAsia="方正仿宋_GBK" w:cs="Times New Roman"/>
          <w:kern w:val="0"/>
          <w:sz w:val="32"/>
          <w:szCs w:val="32"/>
        </w:rPr>
        <w:t>7.7%</w:t>
      </w:r>
      <w:r>
        <w:rPr>
          <w:rFonts w:eastAsia="方正仿宋_GBK" w:hint="eastAsia"/>
          <w:kern w:val="0"/>
          <w:sz w:val="32"/>
          <w:szCs w:val="32"/>
        </w:rPr>
        <w:t>、</w:t>
      </w:r>
      <w:r>
        <w:rPr>
          <w:rFonts w:eastAsia="方正仿宋_GBK" w:cs="Times New Roman"/>
          <w:kern w:val="0"/>
          <w:sz w:val="32"/>
          <w:szCs w:val="32"/>
        </w:rPr>
        <w:t>26.5%</w:t>
      </w:r>
      <w:r>
        <w:rPr>
          <w:rFonts w:eastAsia="方正仿宋_GBK" w:cs="Times New Roman" w:hint="eastAsia"/>
          <w:kern w:val="0"/>
          <w:sz w:val="32"/>
          <w:szCs w:val="32"/>
        </w:rPr>
        <w:t>、</w:t>
      </w:r>
      <w:r>
        <w:rPr>
          <w:rFonts w:eastAsia="方正仿宋_GBK" w:cs="Times New Roman"/>
          <w:kern w:val="0"/>
          <w:sz w:val="32"/>
          <w:szCs w:val="32"/>
        </w:rPr>
        <w:t>45.5%</w:t>
      </w:r>
      <w:r>
        <w:rPr>
          <w:rFonts w:hint="eastAsia"/>
          <w:lang w:eastAsia="zh-CN"/>
        </w:rPr>
        <w:t>。</w:t>
      </w:r>
      <w:r>
        <w:rPr>
          <w:rFonts w:eastAsia="方正仿宋_GBK"/>
          <w:b w:val="0"/>
          <w:bCs w:val="0"/>
          <w:sz w:val="32"/>
          <w:szCs w:val="32"/>
        </w:rPr>
        <w:t>此外，进口消费品152.9亿元，增长54%。其中，食品烟酒类、日化用品类、纺织衣着鞋帽类消费品进口分别增长45%、105.1%、110.5%。</w:t>
      </w:r>
    </w:p>
    <w:p>
      <w:pPr>
        <w:pStyle w:val="27"/>
        <w:spacing w:line="560" w:lineRule="exact"/>
        <w:ind w:firstLineChars="200" w:firstLine="640"/>
        <w:rPr>
          <w:rFonts w:ascii="方正仿宋_GBK" w:eastAsia="方正仿宋_GBK"/>
          <w:color w:val="000000"/>
          <w:sz w:val="32"/>
          <w:szCs w:val="32"/>
        </w:rPr>
      </w:pPr>
    </w:p>
    <w:p>
      <w:pPr>
        <w:pStyle w:val="27"/>
        <w:spacing w:line="560" w:lineRule="exact"/>
        <w:ind w:firstLineChars="200" w:firstLine="640"/>
        <w:rPr>
          <w:rFonts w:ascii="方正仿宋_GBK" w:eastAsia="方正仿宋_GBK"/>
          <w:color w:val="000000"/>
          <w:sz w:val="32"/>
          <w:szCs w:val="32"/>
        </w:rPr>
      </w:pPr>
    </w:p>
    <w:p>
      <w:pPr>
        <w:pStyle w:val="27"/>
        <w:spacing w:line="560" w:lineRule="exact"/>
        <w:ind w:firstLineChars="200" w:firstLine="640"/>
        <w:rPr>
          <w:rFonts w:ascii="方正仿宋_GBK" w:eastAsia="方正仿宋_GBK"/>
          <w:color w:val="000000"/>
          <w:sz w:val="32"/>
          <w:szCs w:val="32"/>
        </w:rPr>
      </w:pPr>
    </w:p>
    <w:p>
      <w:pPr>
        <w:pStyle w:val="17"/>
        <w:autoSpaceDN w:val="0"/>
        <w:adjustRightInd w:val="0"/>
        <w:spacing w:line="560" w:lineRule="exact"/>
        <w:jc w:val="both"/>
        <w:rPr>
          <w:rFonts w:ascii="Times New Roman" w:eastAsia="方正仿宋_GBK" w:cs="Times New Roman" w:hAnsi="Times New Roman"/>
          <w:color w:val="000000"/>
          <w:sz w:val="32"/>
          <w:szCs w:val="32"/>
        </w:rPr>
      </w:pPr>
    </w:p>
    <w:p>
      <w:pPr>
        <w:pStyle w:val="17"/>
        <w:autoSpaceDN w:val="0"/>
        <w:adjustRightInd w:val="0"/>
        <w:spacing w:line="560" w:lineRule="exact"/>
        <w:jc w:val="both"/>
        <w:rPr>
          <w:rFonts w:ascii="Times New Roman" w:eastAsia="方正仿宋_GBK" w:cs="Times New Roman" w:hAnsi="Times New Roman"/>
          <w:color w:val="000000"/>
          <w:sz w:val="32"/>
          <w:szCs w:val="32"/>
        </w:rPr>
      </w:pPr>
    </w:p>
    <w:p>
      <w:pPr>
        <w:pStyle w:val="17"/>
        <w:autoSpaceDN w:val="0"/>
        <w:adjustRightInd w:val="0"/>
        <w:spacing w:line="560" w:lineRule="exact"/>
        <w:jc w:val="both"/>
        <w:rPr>
          <w:rFonts w:ascii="Times New Roman" w:eastAsia="方正仿宋_GBK" w:cs="Times New Roman" w:hAnsi="Times New Roman"/>
          <w:color w:val="000000"/>
          <w:sz w:val="32"/>
          <w:szCs w:val="32"/>
        </w:rPr>
      </w:pPr>
    </w:p>
    <w:p>
      <w:pPr>
        <w:pStyle w:val="17"/>
        <w:autoSpaceDN w:val="0"/>
        <w:adjustRightInd w:val="0"/>
        <w:spacing w:line="560" w:lineRule="exact"/>
        <w:jc w:val="both"/>
        <w:rPr>
          <w:rFonts w:ascii="Times New Roman" w:eastAsia="方正仿宋_GBK" w:cs="Times New Roman" w:hAnsi="Times New Roman"/>
          <w:color w:val="000000"/>
          <w:sz w:val="32"/>
          <w:szCs w:val="32"/>
        </w:rPr>
      </w:pPr>
    </w:p>
    <w:p>
      <w:pPr>
        <w:pStyle w:val="17"/>
        <w:autoSpaceDN w:val="0"/>
        <w:adjustRightInd w:val="0"/>
        <w:spacing w:line="560" w:lineRule="exact"/>
        <w:jc w:val="both"/>
        <w:rPr>
          <w:rFonts w:ascii="Times New Roman" w:eastAsia="方正仿宋_GBK" w:cs="Times New Roman" w:hAnsi="Times New Roman"/>
          <w:color w:val="000000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">
    <w:altName w:val="DejaVu Sans"/>
    <w:panose1 w:val="020B0602030504020204"/>
    <w:charset w:val="00"/>
    <w:family w:val="auto"/>
    <w:pitch w:val="variable"/>
    <w:sig w:usb0="00000003" w:usb1="00000000" w:usb2="00000000" w:usb3="00000000" w:csb0="20000001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bestFit" w:percent="100"/>
  <w:doNotDisplayPageBoundaries/>
  <w:bordersDoNotSurroundHeader/>
  <w:bordersDoNotSurroundFooter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</w:style>
  <w:style w:type="paragraph" w:styleId="15">
    <w:name w:val="header"/>
    <w:basedOn w:val="0"/>
    <w:pPr>
      <w:widowControl/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rFonts w:ascii="Calibri" w:cs="Arial" w:hAnsi="Calibri"/>
      <w:sz w:val="18"/>
      <w:szCs w:val="18"/>
    </w:rPr>
  </w:style>
  <w:style w:type="paragraph" w:styleId="16">
    <w:name w:val="footer"/>
    <w:basedOn w:val="0"/>
    <w:pPr>
      <w:widowControl/>
      <w:tabs>
        <w:tab w:val="center" w:pos="4153"/>
        <w:tab w:val="right" w:pos="8306"/>
      </w:tabs>
      <w:snapToGrid w:val="0"/>
      <w:spacing w:line="240" w:lineRule="atLeast"/>
      <w:jc w:val="left"/>
    </w:pPr>
    <w:rPr>
      <w:rFonts w:ascii="Calibri" w:cs="Arial" w:hAnsi="Calibri"/>
      <w:sz w:val="18"/>
      <w:szCs w:val="18"/>
    </w:rPr>
  </w:style>
  <w:style w:type="paragraph" w:customStyle="1" w:styleId="17">
    <w:name w:val="样式 小四"/>
    <w:pPr>
      <w:widowControl w:val="0"/>
    </w:pPr>
    <w:rPr>
      <w:rFonts w:ascii="宋体" w:eastAsia="宋体" w:cs="宋体"/>
      <w:kern w:val="2"/>
      <w:sz w:val="24"/>
      <w:szCs w:val="21"/>
      <w:lang w:val="en-US" w:eastAsia="zh-CN" w:bidi="ar-SA"/>
    </w:rPr>
  </w:style>
  <w:style w:type="paragraph" w:styleId="18">
    <w:name w:val="Balloon Text"/>
    <w:basedOn w:val="0"/>
    <w:rPr>
      <w:sz w:val="18"/>
      <w:szCs w:val="18"/>
    </w:rPr>
  </w:style>
  <w:style w:type="paragraph" w:customStyle="1" w:styleId="19">
    <w:name w:val="样式 4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0">
    <w:name w:val="样式 3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21">
    <w:name w:val="样式 4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22">
    <w:name w:val="样式 4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23">
    <w:name w:val="样式 4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24">
    <w:name w:val="样式 4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25">
    <w:name w:val="样式 4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26">
    <w:name w:val="样式 2 10 磅"/>
    <w:next w:val="31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7">
    <w:name w:val="样式 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8">
    <w:name w:val="样式 1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9">
    <w:name w:val="样式 1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0">
    <w:name w:val="样式 5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styleId="31">
    <w:name w:val="index 5"/>
    <w:basedOn w:val="0"/>
    <w:autoRedefine/>
    <w:next w:val="0"/>
    <w:pPr>
      <w:ind w:leftChars="800" w:left="800"/>
    </w:pPr>
  </w:style>
  <w:style w:type="paragraph" w:styleId="32">
    <w:name w:val="toc 9"/>
    <w:basedOn w:val="0"/>
    <w:autoRedefine/>
    <w:next w:val="0"/>
    <w:pPr>
      <w:ind w:left="3360"/>
    </w:pPr>
  </w:style>
  <w:style w:type="paragraph" w:customStyle="1" w:styleId="33">
    <w:name w:val="样式 26 10 磅"/>
    <w:next w:val="20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34">
    <w:name w:val="样式 14 10 磅"/>
    <w:next w:val="32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35">
    <w:name w:val="样式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36">
    <w:name w:val="样式 1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37">
    <w:name w:val="样式 2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38">
    <w:name w:val="样式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9">
    <w:name w:val="样式 7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40">
    <w:name w:val="样式 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1">
    <w:name w:val="样式 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2">
    <w:name w:val="样式 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3">
    <w:name w:val="样式 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4">
    <w:name w:val="样式 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5">
    <w:name w:val="样式 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6">
    <w:name w:val="样式 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7">
    <w:name w:val="样式 1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8">
    <w:name w:val="样式 1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9">
    <w:name w:val="样式 1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0">
    <w:name w:val="样式 1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1">
    <w:name w:val="样式 1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styleId="52">
    <w:name w:val="Note Heading"/>
    <w:basedOn w:val="0"/>
    <w:next w:val="0"/>
    <w:pPr>
      <w:jc w:val="center"/>
    </w:pPr>
  </w:style>
  <w:style w:type="paragraph" w:customStyle="1" w:styleId="53">
    <w:name w:val="样式 52 10 磅"/>
    <w:next w:val="52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4">
    <w:name w:val="样式 1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5">
    <w:name w:val="样式 1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56">
    <w:name w:val="样式 2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57">
    <w:name w:val="公式样式 文本"/>
    <w:autoRedefine/>
    <w:rPr>
      <w:rFonts w:ascii="Times New Roman" w:eastAsia="宋体" w:cs="Times New Roman" w:hAnsi="Times New Roman"/>
      <w:b w:val="0"/>
      <w:i w:val="0"/>
      <w:lang w:val="en-US" w:eastAsia="zh-CN" w:bidi="ar-SA"/>
    </w:rPr>
  </w:style>
  <w:style w:type="paragraph" w:customStyle="1" w:styleId="58">
    <w:name w:val="样式 3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59">
    <w:name w:val="样式 2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60">
    <w:name w:val="样式正文"/>
    <w:next w:val="17"/>
    <w:pPr>
      <w:widowControl w:val="0"/>
      <w:adjustRightInd w:val="0"/>
      <w:snapToGrid w:val="0"/>
      <w:spacing w:line="560" w:lineRule="exact"/>
      <w:ind w:firstLineChars="200" w:firstLine="200"/>
      <w:jc w:val="both"/>
    </w:pPr>
    <w:rPr>
      <w:rFonts w:ascii="Times New Roman" w:eastAsia="方正仿宋_GBK" w:cs="Times New Roman" w:hAnsi="Times New Roman"/>
      <w:kern w:val="2"/>
      <w:sz w:val="32"/>
      <w:szCs w:val="31"/>
      <w:lang w:val="en-US" w:eastAsia="zh-CN" w:bidi="ar-SA"/>
    </w:rPr>
  </w:style>
  <w:style w:type="paragraph" w:customStyle="1" w:styleId="61">
    <w:name w:val="样式 22 10 磅"/>
    <w:pPr>
      <w:widowControl w:val="0"/>
      <w:spacing w:line="240" w:lineRule="auto"/>
      <w:jc w:val="both"/>
    </w:pPr>
    <w:rPr>
      <w:rFonts w:ascii="Times New Roman" w:eastAsia="宋体" w:cs="Lucida Sans" w:hAnsi="Times New Roman"/>
      <w:kern w:val="2"/>
      <w:sz w:val="21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10269</TotalTime>
  <Application>Yozo_Office</Application>
  <Pages>2</Pages>
  <Words>755</Words>
  <Characters>992</Characters>
  <Lines>44</Lines>
  <Paragraphs>8</Paragraphs>
  <CharactersWithSpaces>992</CharactersWithSpaces>
  <Company>HG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陈敏骅</dc:creator>
  <cp:lastModifiedBy>陈超</cp:lastModifiedBy>
  <cp:revision>68</cp:revision>
  <cp:lastPrinted>2026-07-15T07:41:38Z</cp:lastPrinted>
  <dcterms:created xsi:type="dcterms:W3CDTF">2026-05-06T03:36:00Z</dcterms:created>
  <dcterms:modified xsi:type="dcterms:W3CDTF">2026-07-20T02:51:49Z</dcterms:modified>
</cp:coreProperties>
</file>