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utoSpaceDN w:val="0"/>
        <w:adjustRightInd w:val="0"/>
        <w:snapToGrid w:val="0"/>
        <w:spacing w:line="560" w:lineRule="exact"/>
        <w:ind w:firstLine="420"/>
        <w:jc w:val="center"/>
        <w:rPr>
          <w:rFonts w:ascii="方正小标宋_GBK" w:eastAsia="方正小标宋_GBK" w:cs="Times New Roman"/>
          <w:sz w:val="44"/>
          <w:szCs w:val="44"/>
        </w:rPr>
      </w:pPr>
      <w:bookmarkStart w:id="0" w:name="_GoBack"/>
      <w:bookmarkEnd w:id="0"/>
      <w:r>
        <w:rPr>
          <w:rFonts w:ascii="方正小标宋_GBK" w:eastAsia="方正小标宋_GBK" w:cs="方正小标宋_GBK" w:hint="eastAsia"/>
          <w:sz w:val="44"/>
          <w:szCs w:val="44"/>
        </w:rPr>
        <w:t>武汉海关关于发布境外技术性贸易措施风险信息的提示</w:t>
      </w:r>
    </w:p>
    <w:p>
      <w:pPr>
        <w:autoSpaceDN w:val="0"/>
        <w:adjustRightInd w:val="0"/>
        <w:snapToGrid w:val="0"/>
        <w:spacing w:line="560" w:lineRule="exact"/>
        <w:jc w:val="center"/>
        <w:rPr>
          <w:rFonts w:ascii="方正楷体_GBK" w:eastAsia="方正楷体_GBK" w:cs="Times New Roman"/>
          <w:sz w:val="32"/>
          <w:szCs w:val="32"/>
        </w:rPr>
      </w:pPr>
      <w:r>
        <w:rPr>
          <w:rFonts w:ascii="方正楷体_GBK" w:eastAsia="方正楷体_GBK" w:cs="方正楷体_GBK" w:hint="eastAsia"/>
          <w:sz w:val="32"/>
          <w:szCs w:val="32"/>
        </w:rPr>
        <w:t>（</w:t>
      </w:r>
      <w:r>
        <w:rPr>
          <w:rFonts w:ascii="方正楷体_GBK" w:eastAsia="方正楷体_GBK" w:cs="方正楷体_GBK"/>
          <w:sz w:val="32"/>
          <w:szCs w:val="32"/>
        </w:rPr>
        <w:t>202609</w:t>
      </w:r>
      <w:r>
        <w:rPr>
          <w:rFonts w:ascii="方正楷体_GBK" w:eastAsia="方正楷体_GBK" w:cs="方正楷体_GBK" w:hint="eastAsia"/>
          <w:sz w:val="32"/>
          <w:szCs w:val="32"/>
        </w:rPr>
        <w:t>期总第</w:t>
      </w:r>
      <w:r>
        <w:rPr>
          <w:rFonts w:ascii="方正楷体_GBK" w:eastAsia="方正楷体_GBK" w:cs="方正楷体_GBK"/>
          <w:sz w:val="32"/>
          <w:szCs w:val="32"/>
        </w:rPr>
        <w:t>76</w:t>
      </w:r>
      <w:r>
        <w:rPr>
          <w:rFonts w:ascii="方正楷体_GBK" w:eastAsia="方正楷体_GBK" w:cs="方正楷体_GBK" w:hint="eastAsia"/>
          <w:sz w:val="32"/>
          <w:szCs w:val="32"/>
        </w:rPr>
        <w:t>期）</w:t>
      </w:r>
    </w:p>
    <w:p>
      <w:pPr>
        <w:autoSpaceDN w:val="0"/>
        <w:adjustRightInd w:val="0"/>
        <w:snapToGrid w:val="0"/>
        <w:spacing w:line="560" w:lineRule="exact"/>
        <w:ind w:firstLineChars="200" w:firstLine="640"/>
        <w:rPr>
          <w:rFonts w:ascii="方正仿宋_GBK" w:eastAsia="方正仿宋_GBK" w:cs="Times New Roman"/>
          <w:sz w:val="32"/>
          <w:szCs w:val="32"/>
        </w:rPr>
      </w:pPr>
      <w:r>
        <w:rPr>
          <w:rFonts w:ascii="方正仿宋_GBK" w:eastAsia="方正仿宋_GBK" w:cs="方正仿宋_GBK" w:hint="eastAsia"/>
          <w:sz w:val="32"/>
          <w:szCs w:val="32"/>
        </w:rPr>
        <w:t>当前我国面临复杂严峻的外贸形势，国外技术性贸易措施依然是影响我国企业出口的重要因素之一。为进一步降低技术性贸易措施对湖北出口企业可能造成的影响，推动湖北产品更好“走出去”，提高贸易便利化水平，助力企业开拓海外市场，武汉海关收集整理了近期部分境外技术性贸易措施，供外贸企业参考。现将收集的相关信息公布提示如下：</w:t>
      </w:r>
    </w:p>
    <w:tbl>
      <w:tblPr>
        <w:jc w:val="left"/>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382"/>
        <w:gridCol w:w="596"/>
        <w:gridCol w:w="12193"/>
      </w:tblGrid>
      <w:tr>
        <w:trPr>
          <w:trHeight w:val="593"/>
        </w:trPr>
        <w:tc>
          <w:tcPr>
            <w:tcW w:w="1382" w:type="dxa"/>
          </w:tcPr>
          <w:p>
            <w:pPr>
              <w:autoSpaceDN w:val="0"/>
              <w:jc w:val="center"/>
              <w:rPr>
                <w:rFonts w:ascii="Times New Roman" w:cs="Times New Roman" w:hAnsi="Times New Roman"/>
                <w:b/>
                <w:bCs/>
              </w:rPr>
            </w:pPr>
            <w:r>
              <w:rPr>
                <w:rFonts w:ascii="Times New Roman" w:cs="Times New Roman" w:hAnsi="Times New Roman"/>
                <w:b/>
                <w:bCs/>
              </w:rPr>
              <w:t>国家</w:t>
            </w:r>
          </w:p>
          <w:p>
            <w:pPr>
              <w:autoSpaceDN w:val="0"/>
              <w:jc w:val="center"/>
              <w:rPr>
                <w:rFonts w:ascii="Times New Roman" w:cs="Times New Roman" w:hAnsi="Times New Roman"/>
                <w:b/>
                <w:bCs/>
              </w:rPr>
            </w:pPr>
            <w:r>
              <w:rPr>
                <w:rFonts w:ascii="Times New Roman" w:cs="Times New Roman" w:hAnsi="Times New Roman"/>
                <w:b/>
                <w:bCs/>
              </w:rPr>
              <w:t>（地区组织）</w:t>
            </w:r>
          </w:p>
        </w:tc>
        <w:tc>
          <w:tcPr>
            <w:tcW w:w="596" w:type="dxa"/>
            <w:vAlign w:val="center"/>
          </w:tcPr>
          <w:p>
            <w:pPr>
              <w:autoSpaceDN w:val="0"/>
              <w:jc w:val="center"/>
              <w:rPr>
                <w:rFonts w:ascii="Times New Roman" w:cs="Times New Roman" w:hAnsi="Times New Roman"/>
              </w:rPr>
            </w:pPr>
            <w:r>
              <w:rPr>
                <w:rFonts w:ascii="Times New Roman" w:cs="Times New Roman" w:hAnsi="Times New Roman"/>
                <w:b/>
                <w:bCs/>
              </w:rPr>
              <w:t>序号</w:t>
            </w:r>
          </w:p>
        </w:tc>
        <w:tc>
          <w:tcPr>
            <w:tcW w:w="12193" w:type="dxa"/>
          </w:tcPr>
          <w:p>
            <w:pPr>
              <w:autoSpaceDN w:val="0"/>
              <w:jc w:val="center"/>
              <w:rPr>
                <w:rFonts w:ascii="Times New Roman" w:cs="Times New Roman" w:hAnsi="Times New Roman"/>
              </w:rPr>
            </w:pPr>
            <w:r>
              <w:rPr>
                <w:rFonts w:ascii="Times New Roman" w:cs="Times New Roman" w:hAnsi="Times New Roman"/>
                <w:b/>
                <w:bCs/>
                <w:sz w:val="28"/>
                <w:szCs w:val="28"/>
              </w:rPr>
              <w:t>提示信息</w:t>
            </w:r>
          </w:p>
        </w:tc>
      </w:tr>
      <w:tr>
        <w:trPr>
          <w:trHeight w:val="645"/>
        </w:trPr>
        <w:tc>
          <w:tcPr>
            <w:tcW w:w="1382" w:type="dxa"/>
            <w:vMerge w:val="restart"/>
            <w:vAlign w:val="center"/>
          </w:tcPr>
          <w:p>
            <w:pPr>
              <w:pStyle w:val="314"/>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美国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w:t>
            </w:r>
          </w:p>
        </w:tc>
        <w:tc>
          <w:tcPr>
            <w:tcW w:w="12193" w:type="dxa"/>
            <w:vAlign w:val="center"/>
          </w:tcPr>
          <w:p>
            <w:pPr>
              <w:jc w:val="left"/>
              <w:rPr>
                <w:rFonts w:ascii="宋体" w:cs="宋体" w:hint="eastAsia"/>
                <w:sz w:val="22"/>
              </w:rPr>
            </w:pPr>
            <w:r>
              <w:rPr>
                <w:rFonts w:ascii="宋体" w:cs="宋体"/>
                <w:sz w:val="22"/>
              </w:rPr>
              <w:t>无线紧急警报。在本文件中，联邦通信委员会通过了一份拟议规则制定的进一步通知，寻求就旨在使紧急警报系统和无线紧急警报更具弹性、灵活性和实用性的拟议规则进行评议。</w:t>
            </w:r>
          </w:p>
        </w:tc>
      </w:tr>
      <w:tr>
        <w:trPr>
          <w:trHeight w:val="365"/>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w:t>
            </w:r>
          </w:p>
        </w:tc>
        <w:tc>
          <w:tcPr>
            <w:tcW w:w="12193" w:type="dxa"/>
            <w:vAlign w:val="center"/>
          </w:tcPr>
          <w:p>
            <w:pPr>
              <w:jc w:val="left"/>
              <w:rPr>
                <w:rFonts w:ascii="宋体" w:cs="宋体" w:hint="eastAsia"/>
                <w:sz w:val="22"/>
              </w:rPr>
            </w:pPr>
            <w:r>
              <w:rPr>
                <w:rFonts w:ascii="宋体" w:cs="宋体"/>
                <w:sz w:val="22"/>
              </w:rPr>
              <w:t>抗干扰无线电高度计系统的要求。2025年7月，特朗普总统签署了《一项大而美的法案》。该法第40002条重新授权联邦通信委员会的一般拍卖权，并特别指示该委员会在3.98-4.2吉赫频段（上C频段）内完成不少于100兆赫频谱的竞争性 bidding 系统。本最终规则支持联邦通信委员会2026年7月的《报告与命令》，该命令通过竞争性 bidding 系统，使上C频段中的160兆赫频谱可用于地面无线灵活使用。为确保在C频段存在无线信号的情况下航空运行的安全、高效和可靠，联邦航空管理局正在发布新法规，要求所有无线电高度表满足特定的最低性能要求。这些新型无线电高度表必须能够承受相邻频段无线信号的干扰，并继续向飞行员和飞机集成安全系统提供准确的高度读数。这些法规要求，根据第121部运行的所有配备无线电高度表的飞机，以及根据第129部运行、且配有30个及以上乘客座位或有效载荷能力超过7,500磅的配备无线电高度表的飞机，必须在2030年12月30日之前符合最低性能要求。该日期早于联邦通信委员会在其《报告与命令》中所述授权将上C频段用于新无线服务的日期。所有其他根据第91部要求配备无线电高度表的飞机，包括根据第125、133、135、136、137、194部运行的飞机，以及根据第129部运行但不受初始期限限制的所有其他飞机，必须在2034年10月31日或之前符合相同的最低性能要求。</w:t>
            </w:r>
          </w:p>
        </w:tc>
      </w:tr>
      <w:tr>
        <w:trPr>
          <w:trHeight w:val="1237"/>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w:t>
            </w:r>
          </w:p>
        </w:tc>
        <w:tc>
          <w:tcPr>
            <w:tcW w:w="12193" w:type="dxa"/>
            <w:vAlign w:val="center"/>
          </w:tcPr>
          <w:p>
            <w:pPr>
              <w:jc w:val="left"/>
              <w:rPr>
                <w:rFonts w:ascii="宋体" w:cs="宋体" w:hint="eastAsia"/>
                <w:sz w:val="22"/>
              </w:rPr>
            </w:pPr>
            <w:r>
              <w:rPr>
                <w:rFonts w:ascii="宋体" w:cs="宋体"/>
                <w:sz w:val="22"/>
              </w:rPr>
              <w:t>提高商业航空公司运营中紧急医疗包的功效和灵活性。FAA提议取消紧急医疗包和急救包中所需物品的规定清单，代之以基于性能的要求，以确保内容实用且足以让机组人员解决商用飞机上发生的最常见的医疗紧急情况。FAA寻求提高运营商的灵活性，同时保持运营商装备机载医疗包的可预测性。该规则还将删除2004年4月12日修订的关于某些紧急医疗包的过时提法。此行动对于满足2024年FAA再授权法案的要求是必要的。</w:t>
            </w:r>
          </w:p>
        </w:tc>
      </w:tr>
      <w:tr>
        <w:trPr>
          <w:trHeight w:val="2135"/>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w:t>
            </w:r>
          </w:p>
        </w:tc>
        <w:tc>
          <w:tcPr>
            <w:tcW w:w="12193" w:type="dxa"/>
            <w:vAlign w:val="center"/>
          </w:tcPr>
          <w:p>
            <w:pPr>
              <w:jc w:val="left"/>
              <w:rPr>
                <w:rFonts w:ascii="宋体" w:cs="宋体" w:hint="eastAsia"/>
                <w:sz w:val="22"/>
              </w:rPr>
            </w:pPr>
            <w:r>
              <w:rPr>
                <w:rFonts w:ascii="宋体" w:cs="宋体"/>
                <w:sz w:val="22"/>
              </w:rPr>
              <w:t>联邦机动车辆安全标准。本通知对修订联邦机动车辆安全标准（FMVSS）第225号的2025年1月7日最终规则的复议申请做出回应。NHTSA提议批准将3年分阶段期延长至4年分阶段期的请求，以符合FMVSS No.225中的更新要求，并延长小批量制造商完全遵守的交付时间。在拟议的分阶段期结束时更新的要求。该机构还提议批准将敞篷车系绳锚地豁免延长两年的请求。NHTSA建议拒绝允许系绳在可调节或可拆卸头枕上布线以满足系绳锚固位置要求的请求。NHTSA还提议进行多项技术更正，并澄清某些测试程序。拟议合规日期：NHTSA提议采用4年的逐步实施期，以遵守FMVSS第225号中的更新要求，并提议延长交货时间小批量制造商在拟议的逐步实施期结束前完全遵守更新的要求。该机构还提议将敞篷车系绳锚地排除的日落日期延长两年。NHTSA提议允许早期合规。</w:t>
            </w:r>
          </w:p>
        </w:tc>
      </w:tr>
      <w:tr>
        <w:trPr>
          <w:trHeight w:val="1141"/>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w:t>
            </w:r>
          </w:p>
        </w:tc>
        <w:tc>
          <w:tcPr>
            <w:tcW w:w="12193" w:type="dxa"/>
            <w:vAlign w:val="center"/>
          </w:tcPr>
          <w:p>
            <w:pPr>
              <w:jc w:val="left"/>
              <w:rPr>
                <w:rFonts w:ascii="宋体" w:cs="宋体" w:hint="eastAsia"/>
                <w:sz w:val="22"/>
              </w:rPr>
            </w:pPr>
            <w:r>
              <w:rPr>
                <w:rFonts w:ascii="宋体" w:cs="宋体"/>
                <w:sz w:val="22"/>
              </w:rPr>
              <w:t>禁止为非美国政府进口和销售某些外国生产的军用级无人驾驶飞机系统（UAS）和UAS关键部件，包括具有集群能力的部件。在本文件中，公共安全和国土安全局（PSHSB）和工程技术办公室（OET）就禁止继续进口和销售联邦通信委员会（FCC）涵盖清单上的某些军用级外国制造UAS和UAS关键组件的提议寻求评议。根据联邦通信委员会规则第2.939节，PSHSB和OET通过本公告提议实施此类禁令，因为根据2019年《安全和可信通信法》，这些设备已被发现对美国国家安全和美国人的安全构成不可接受的风险。这是2026年7月21日在PS案卷号26-189中发布的公告的摘要。</w:t>
            </w:r>
          </w:p>
        </w:tc>
      </w:tr>
      <w:tr>
        <w:trPr>
          <w:trHeight w:val="1399"/>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w:t>
            </w:r>
          </w:p>
        </w:tc>
        <w:tc>
          <w:tcPr>
            <w:tcW w:w="12193" w:type="dxa"/>
            <w:vAlign w:val="center"/>
          </w:tcPr>
          <w:p>
            <w:pPr>
              <w:jc w:val="left"/>
              <w:rPr>
                <w:rFonts w:ascii="宋体" w:cs="宋体" w:hint="eastAsia"/>
                <w:sz w:val="22"/>
              </w:rPr>
            </w:pPr>
            <w:r>
              <w:rPr>
                <w:rFonts w:ascii="宋体" w:cs="宋体"/>
                <w:sz w:val="22"/>
              </w:rPr>
              <w:t>高速列车噪声排放标准。本通知旨在修订噪声排放法规，以解决时速超过160英里的列车独特的噪声排放特征。具体来说，拟议的法规将为超过160英里/小时、最高220英里/小时的列车运行噪音排放提供替代标准，并为超过220英里/小时的列车运行噪音排放提供特殊审批流程。这种替代性的噪音排放标准和合规流程将有效地消除铁路行业高速铁路运营的现有监管障碍，同时继续保护公众健康和福利。所有时速高达160英里/小时的列车运行的现有噪音排放限制将继续适用，这些现有限制也将继续用于证明在更高速度下的合规性。</w:t>
            </w:r>
          </w:p>
        </w:tc>
      </w:tr>
      <w:tr>
        <w:trPr>
          <w:trHeight w:val="1251"/>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7</w:t>
            </w:r>
          </w:p>
        </w:tc>
        <w:tc>
          <w:tcPr>
            <w:tcW w:w="12193" w:type="dxa"/>
            <w:vAlign w:val="center"/>
          </w:tcPr>
          <w:p>
            <w:pPr>
              <w:jc w:val="left"/>
              <w:rPr>
                <w:rFonts w:ascii="宋体" w:cs="宋体" w:hint="eastAsia"/>
                <w:sz w:val="22"/>
              </w:rPr>
            </w:pPr>
            <w:r>
              <w:rPr>
                <w:rFonts w:ascii="宋体" w:cs="宋体"/>
                <w:sz w:val="22"/>
              </w:rPr>
              <w:t>邻二氯苯和对二氯苯；根据《有毒物质控制法》（TSCA）的风险评估草案。美国环境保护署现公布根据TSCA对邻二氯苯和对二氯苯进行风险评估的草案，并征求公众意见。依据TSCA开展风险评估的目的，是确定某化学物质在其使用条件下是否对健康或环境构成不合理的伤害风险，包括对本署认定与风险评估相关的潜在暴露或易感亚人群构成的不合理风险，且不考虑成本或非风险因素。美国环境保护署现就邻二氯苯和对二氯苯的风险评估草案征求公众意见。</w:t>
            </w:r>
          </w:p>
        </w:tc>
      </w:tr>
      <w:tr>
        <w:trPr>
          <w:trHeight w:val="1344"/>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8</w:t>
            </w:r>
          </w:p>
        </w:tc>
        <w:tc>
          <w:tcPr>
            <w:tcW w:w="12193" w:type="dxa"/>
            <w:vAlign w:val="center"/>
          </w:tcPr>
          <w:p>
            <w:pPr>
              <w:jc w:val="left"/>
              <w:rPr>
                <w:rFonts w:ascii="宋体" w:cs="宋体" w:hint="eastAsia"/>
                <w:sz w:val="22"/>
              </w:rPr>
            </w:pPr>
            <w:r>
              <w:rPr>
                <w:rFonts w:ascii="宋体" w:cs="宋体"/>
                <w:sz w:val="22"/>
              </w:rPr>
              <w:t>通过设备授权计划保护通信供应链免受国家安全威胁，联邦通信委员会（FCC）发布了第三份拟议规则制定的进一步通知，寻求就一系列广泛的附加措施进行评议，以加强其设备授权计划的安全性和完整性。这些措施包括将涵盖的清单分为基于生产商/供应商的类别和基于生产地点的类别；解决所涵盖设备的“白色标签”问题；硬件和软件物料清单披露要求；进一步禁止或推定授权包含涵盖清单组件或软件的设备；涵盖清单部门设备的认证要求；设备进口、营销、预授权操作规则改革；限制使用FCC标志；简化撤销程序；对所涵盖设备的软件、固件和硬件更新的许可变更豁免进行编纂；UAS、UAS关键组件和路由器的编码定义；设备授权的期限限制；供应商符合性声明设备的注册；委员会设备授权数据库的现代化；海底电缆覆盖列表规则的更新；以及一项要求美国责任方负责FCC认证设备的提案。</w:t>
            </w:r>
          </w:p>
        </w:tc>
      </w:tr>
      <w:tr>
        <w:trPr>
          <w:trHeight w:val="771"/>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9</w:t>
            </w:r>
          </w:p>
        </w:tc>
        <w:tc>
          <w:tcPr>
            <w:tcW w:w="12193" w:type="dxa"/>
            <w:vAlign w:val="center"/>
          </w:tcPr>
          <w:p>
            <w:pPr>
              <w:jc w:val="left"/>
              <w:rPr>
                <w:rFonts w:ascii="宋体" w:cs="宋体"/>
                <w:sz w:val="22"/>
              </w:rPr>
            </w:pPr>
            <w:r>
              <w:rPr>
                <w:rFonts w:ascii="宋体" w:cs="宋体"/>
                <w:sz w:val="22"/>
              </w:rPr>
              <w:t>氯菊酯(Permethrin)农药限量。该法规规定了食品和饲料商品黑胡椒中氯菊酯的残留限量为0.1(ppm)。根据《联邦食品、药品和化妆品法案》(FFDCA)，美国香料贸易协会向EPA提交了一份申请，要求EPA确定该农药在特定商品中的最大残留限量。</w:t>
            </w:r>
          </w:p>
        </w:tc>
      </w:tr>
      <w:tr>
        <w:trPr>
          <w:trHeight w:val="691"/>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10</w:t>
            </w:r>
          </w:p>
        </w:tc>
        <w:tc>
          <w:tcPr>
            <w:tcW w:w="12193" w:type="dxa"/>
            <w:vAlign w:val="center"/>
          </w:tcPr>
          <w:p>
            <w:pPr>
              <w:jc w:val="left"/>
              <w:rPr>
                <w:rFonts w:ascii="宋体" w:cs="宋体" w:hint="eastAsia"/>
                <w:sz w:val="22"/>
              </w:rPr>
            </w:pPr>
            <w:r>
              <w:rPr>
                <w:rFonts w:ascii="宋体" w:cs="宋体"/>
                <w:sz w:val="22"/>
              </w:rPr>
              <w:t>异丙噻菌胺农药限量。该法规规定了坚果、树和杏仁（壳）中异丙噻菌胺的残留限量。根据美国联邦食品、药品和化妆品法案，ISK Biosciences Corporation向EPA提交了一份申请，要求EPA确定该农药在特定商品中的最大残留限量。</w:t>
            </w:r>
          </w:p>
        </w:tc>
      </w:tr>
      <w:tr>
        <w:trPr>
          <w:trHeight w:val="683"/>
        </w:trPr>
        <w:tc>
          <w:tcPr>
            <w:tcW w:w="1382" w:type="dxa"/>
            <w:tcBorders>
              <w:tl2br w:val="nil"/>
              <w:tr2bl w:val="nil"/>
            </w:tcBorders>
            <w:vAlign w:val="center"/>
          </w:tcPr>
          <w:p>
            <w:pPr>
              <w:pStyle w:val="291"/>
              <w:jc w:val="center"/>
              <w:rPr>
                <w:rFonts w:cs="Lucida Sans"/>
              </w:rPr>
            </w:pPr>
            <w:r>
              <w:rPr>
                <w:rFonts w:cs="Lucida Sans"/>
              </w:rPr>
              <w:t>埃及</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11</w:t>
            </w:r>
          </w:p>
        </w:tc>
        <w:tc>
          <w:tcPr>
            <w:tcW w:w="12193" w:type="dxa"/>
            <w:vAlign w:val="center"/>
          </w:tcPr>
          <w:p>
            <w:pPr>
              <w:jc w:val="left"/>
              <w:rPr>
                <w:rFonts w:ascii="宋体" w:cs="宋体" w:hint="eastAsia"/>
                <w:sz w:val="22"/>
              </w:rPr>
            </w:pPr>
            <w:r>
              <w:rPr>
                <w:rFonts w:ascii="宋体" w:cs="宋体"/>
                <w:sz w:val="22"/>
              </w:rPr>
              <w:t>埃及标准“无烟草尼古丁袋”草案。该标准草案规定了专门用于口服的尼古丁袋（尼古丁在一段时间内通过口腔粘膜吸收）以及使用后的后续处理要求。</w:t>
            </w:r>
          </w:p>
        </w:tc>
      </w:tr>
      <w:tr>
        <w:trPr>
          <w:trHeight w:val="380"/>
        </w:trPr>
        <w:tc>
          <w:tcPr>
            <w:tcW w:w="1382" w:type="dxa"/>
            <w:tcBorders>
              <w:tl2br w:val="nil"/>
              <w:tr2bl w:val="nil"/>
            </w:tcBorders>
            <w:vAlign w:val="center"/>
          </w:tcPr>
          <w:p>
            <w:pPr>
              <w:pStyle w:val="291"/>
              <w:jc w:val="center"/>
              <w:rPr>
                <w:rFonts w:cs="Lucida Sans"/>
              </w:rPr>
            </w:pPr>
            <w:r>
              <w:rPr>
                <w:rFonts w:cs="Lucida Sans"/>
              </w:rPr>
              <w:t>法国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12</w:t>
            </w:r>
          </w:p>
        </w:tc>
        <w:tc>
          <w:tcPr>
            <w:tcW w:w="12193" w:type="dxa"/>
            <w:vAlign w:val="center"/>
          </w:tcPr>
          <w:p>
            <w:pPr>
              <w:jc w:val="left"/>
              <w:rPr>
                <w:rFonts w:ascii="仿宋" w:eastAsia="仿宋" w:cs="Lucida Sans" w:hint="eastAsia"/>
                <w:color w:val="000000"/>
                <w:sz w:val="28"/>
              </w:rPr>
            </w:pPr>
            <w:r>
              <w:rPr>
                <w:rFonts w:ascii="宋体" w:cs="宋体"/>
                <w:sz w:val="22"/>
              </w:rPr>
              <w:t>批准将提取物和堆肥茶作为肥料投放市场和使用的规格的命令。该命令批准了一项规范，规定了适用于曝气或发酵堆肥提取物和茶类肥料的合规标准，涉及：其作为肥料材料的生产和投放市场；生产者直接生产和使用其作为肥料。它是根据《农村和海洋渔业法》第L.255-5条第3°采取的。它不适用于投放市场并在第L.255-5条第2°规定的条件下使用的肥料和栽培介质，对应于符合(EU)第2019/1009号法规的肥料为了能够在法国投放市场和使用，生物刺激剂产品必须已获得营销授权(MAM)，或必须符合规定欧盟肥料投放市场规则的标准或法规(EU)2019/1009，或符合农业部发布的规范,MAM或标准或RUE n°2019/1009不适用于由微生物组成的天然来源的产品和制剂，其成分不标准化并反映自然可变性,这尤其适用于堆肥茶，这种茶来自传统知识，如生物动力制剂，其价值得到承认，但没有合法的使用途径,规格不是确定最终产品的确切成分，而是确定制造过程，包括原材料，这将使产品符合质量，安全和功效要求,环境保护。</w:t>
            </w:r>
          </w:p>
        </w:tc>
      </w:tr>
      <w:tr>
        <w:trPr>
          <w:trHeight w:val="622"/>
        </w:trPr>
        <w:tc>
          <w:tcPr>
            <w:tcW w:w="1382" w:type="dxa"/>
            <w:tcBorders>
              <w:tl2br w:val="nil"/>
              <w:tr2bl w:val="nil"/>
            </w:tcBorders>
            <w:vAlign w:val="center"/>
          </w:tcPr>
          <w:p>
            <w:pPr>
              <w:pStyle w:val="291"/>
              <w:jc w:val="center"/>
              <w:rPr>
                <w:rFonts w:cs="Times New Roman"/>
              </w:rPr>
            </w:pPr>
            <w:r>
              <w:rPr>
                <w:rFonts w:cs="Times New Roman"/>
              </w:rPr>
              <w:t>厄瓜多尔</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13</w:t>
            </w:r>
          </w:p>
        </w:tc>
        <w:tc>
          <w:tcPr>
            <w:tcW w:w="12193" w:type="dxa"/>
            <w:vAlign w:val="center"/>
          </w:tcPr>
          <w:p>
            <w:pPr>
              <w:jc w:val="left"/>
              <w:rPr>
                <w:rFonts w:ascii="宋体" w:cs="宋体" w:hint="eastAsia"/>
                <w:sz w:val="22"/>
              </w:rPr>
            </w:pPr>
            <w:r>
              <w:rPr>
                <w:rFonts w:ascii="宋体" w:cs="宋体"/>
                <w:sz w:val="22"/>
              </w:rPr>
              <w:t>厄瓜多尔技术法规PRTE INEN 216(2R)“个人面部和眼睛保护器”第二次修订草案。本技术法规适用于在厄瓜多尔销售的以下产品，无论是国产产品还是进口产品：旨在保护眼睛和面部免受一种或多种常见职业危害的眼睛和面部防护装置。职业用眼睛和面部防护装置，在焊接和相关技术过程中使用。职业用眼睛和面部防护装置网状防护装置的附加要求。本厄瓜多尔技术法规适用的产品属于以下关税分类。本厄瓜多尔技术法规不适用于：专门用于防护太阳辐射且仅在非职业环境中使用的护目镜。旨在防护电离辐射（例如X射线）的护目镜。医疗诊断或治疗期间患者的护眼器。用作呼吸防护设备的全面面罩。本产品属于RTE INEN 181（3R）“呼吸防护设备”的应用领域。</w:t>
            </w:r>
          </w:p>
        </w:tc>
      </w:tr>
      <w:tr>
        <w:trPr>
          <w:trHeight w:val="722"/>
        </w:trPr>
        <w:tc>
          <w:tcPr>
            <w:tcW w:w="1382" w:type="dxa"/>
            <w:tcBorders>
              <w:tl2br w:val="nil"/>
              <w:tr2bl w:val="nil"/>
            </w:tcBorders>
            <w:vAlign w:val="center"/>
          </w:tcPr>
          <w:p>
            <w:pPr>
              <w:pStyle w:val="291"/>
              <w:jc w:val="center"/>
            </w:pPr>
            <w:r>
              <w:rPr>
                <w:rFonts w:cs="Lucida Sans"/>
              </w:rPr>
              <w:t>澳大利亚</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14</w:t>
            </w:r>
          </w:p>
        </w:tc>
        <w:tc>
          <w:tcPr>
            <w:tcW w:w="12193" w:type="dxa"/>
            <w:vAlign w:val="center"/>
          </w:tcPr>
          <w:p>
            <w:pPr>
              <w:pStyle w:val="103"/>
              <w:jc w:val="left"/>
              <w:rPr>
                <w:rFonts w:ascii="宋体" w:cs="宋体" w:hint="eastAsia"/>
                <w:sz w:val="22"/>
              </w:rPr>
            </w:pPr>
            <w:r>
              <w:rPr>
                <w:rFonts w:ascii="宋体" w:cs="宋体"/>
                <w:sz w:val="22"/>
              </w:rPr>
              <w:t>水印认证计划-WMTS-542：2026用于垂直卫生管道板修复的推入式联轴器。本技术规范规定了在类似或不同管道材料的无压力土壤、废物和通风管的内表面上提供过盈弹性密封的管接头（套管x套管）的最低要求。该联轴器仅用于所有类别建筑物内的垂直安装，并且安装将通过性能解决方案进行。工作温度范围：&gt;0°C至40°C恒定。工作压力范围：高达58kPa。工作尺寸范围：DN 80至DN 200。澳大利亚管道规范（PCA）要求大多数用于建筑物内或周围管道和排水装置的产品必须经过水印产品规格的评估和认证。适用产品规范的水印认证提供了一个评估和授权产品的过程，使其能够在管道和排水装置中使用。从而确保管道和排水产品适合其预期用途。本水印技术规范是根据《水印认证方案手册》附录4《产品规范制定方案》编制的。水印技术规范的目标是根据澳大利亚管道规范（PCA）的要求实现产品认证。</w:t>
            </w:r>
          </w:p>
        </w:tc>
      </w:tr>
      <w:tr>
        <w:trPr>
          <w:trHeight w:val="667"/>
        </w:trPr>
        <w:tc>
          <w:tcPr>
            <w:tcW w:w="1382" w:type="dxa"/>
            <w:tcBorders>
              <w:tl2br w:val="nil"/>
              <w:tr2bl w:val="nil"/>
            </w:tcBorders>
            <w:vAlign w:val="center"/>
          </w:tcPr>
          <w:p>
            <w:pPr>
              <w:pStyle w:val="291"/>
              <w:jc w:val="center"/>
              <w:rPr>
                <w:rFonts w:cs="Lucida Sans"/>
              </w:rPr>
            </w:pPr>
            <w:r>
              <w:rPr>
                <w:rFonts w:cs="Lucida Sans"/>
              </w:rPr>
              <w:t>玻利维亚</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15</w:t>
            </w:r>
          </w:p>
        </w:tc>
        <w:tc>
          <w:tcPr>
            <w:tcW w:w="12193" w:type="dxa"/>
            <w:vAlign w:val="center"/>
          </w:tcPr>
          <w:p>
            <w:pPr>
              <w:jc w:val="left"/>
              <w:rPr>
                <w:rFonts w:ascii="宋体" w:cs="宋体" w:hint="eastAsia"/>
                <w:sz w:val="22"/>
              </w:rPr>
            </w:pPr>
            <w:r>
              <w:rPr>
                <w:rFonts w:ascii="宋体" w:cs="宋体"/>
                <w:sz w:val="22"/>
              </w:rPr>
              <w:t>《水硬性水泥》技术法规草案。本技术法规的规定适用于在玻利维亚销售的水硬性水泥，无论是国内生产的还是进口的。同样，任何出于在玻利维亚销售目的生产或进口本技术法规所涵盖的产品的自然人或法人，应遵守本技术法规中包含的规定。符合进口最低金额概念的CCRT的合规除外。</w:t>
            </w:r>
          </w:p>
        </w:tc>
      </w:tr>
      <w:tr>
        <w:trPr>
          <w:trHeight w:val="430"/>
        </w:trPr>
        <w:tc>
          <w:tcPr>
            <w:tcW w:w="1382" w:type="dxa"/>
            <w:vMerge w:val="restart"/>
            <w:tcBorders>
              <w:tl2br w:val="nil"/>
              <w:tr2bl w:val="nil"/>
            </w:tcBorders>
            <w:vAlign w:val="center"/>
          </w:tcPr>
          <w:p>
            <w:pPr>
              <w:pStyle w:val="291"/>
              <w:jc w:val="center"/>
            </w:pPr>
            <w:r>
              <w:t>厄瓜多尔</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16</w:t>
            </w:r>
          </w:p>
        </w:tc>
        <w:tc>
          <w:tcPr>
            <w:tcW w:w="12193" w:type="dxa"/>
            <w:vAlign w:val="center"/>
          </w:tcPr>
          <w:p>
            <w:pPr>
              <w:jc w:val="left"/>
              <w:rPr>
                <w:rFonts w:ascii="宋体" w:cs="宋体" w:hint="eastAsia"/>
                <w:sz w:val="22"/>
              </w:rPr>
            </w:pPr>
            <w:r>
              <w:rPr>
                <w:rFonts w:ascii="宋体" w:cs="宋体"/>
                <w:sz w:val="22"/>
              </w:rPr>
              <w:t>2026年8月12日第13.094号法令。根据2024年10月8日第14.993号法律的规定，规范国家可持续航空燃料计划。</w:t>
            </w:r>
          </w:p>
        </w:tc>
      </w:tr>
      <w:tr>
        <w:trPr>
          <w:trHeight w:val="70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17</w:t>
            </w:r>
          </w:p>
        </w:tc>
        <w:tc>
          <w:tcPr>
            <w:tcW w:w="12193" w:type="dxa"/>
            <w:vAlign w:val="center"/>
          </w:tcPr>
          <w:p>
            <w:pPr>
              <w:jc w:val="left"/>
              <w:rPr>
                <w:rFonts w:ascii="宋体" w:cs="宋体" w:hint="eastAsia"/>
                <w:sz w:val="22"/>
              </w:rPr>
            </w:pPr>
            <w:r>
              <w:rPr>
                <w:rFonts w:ascii="宋体" w:cs="宋体"/>
                <w:sz w:val="22"/>
              </w:rPr>
              <w:t>ANP第1.006号决议，2026年8月11日。为用于车辆用途以及住宅、工业和商业设施的生物甲烷制定规格，并规定在国内市场销售该产品的经济运营商须满足的质量控制要求。现废除以下文件：I,2022年9月29日第886号ANP决议；II,2022年11月18日第906号ANP决议；以及 III.2025年5月21日第982号ANP决议第9条。</w:t>
            </w:r>
          </w:p>
        </w:tc>
      </w:tr>
      <w:tr>
        <w:trPr>
          <w:trHeight w:val="222"/>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18</w:t>
            </w:r>
          </w:p>
        </w:tc>
        <w:tc>
          <w:tcPr>
            <w:tcW w:w="12193" w:type="dxa"/>
            <w:vAlign w:val="center"/>
          </w:tcPr>
          <w:p>
            <w:pPr>
              <w:jc w:val="left"/>
              <w:rPr>
                <w:rFonts w:ascii="宋体" w:cs="宋体" w:hint="eastAsia"/>
                <w:sz w:val="22"/>
              </w:rPr>
            </w:pPr>
            <w:r>
              <w:rPr>
                <w:rFonts w:ascii="宋体" w:cs="宋体"/>
                <w:sz w:val="22"/>
              </w:rPr>
              <w:t>2026年8月12日第13.096号法令。2024年8月2日第14.948号法律——该法律确立了低碳氢的法律框架，规定了国家低碳氢政策，为低碳氢产业设立了激励措施，并设立了低碳氢生产特别激励制度；2024年9月27日第14.990号法律——该法律设立了低碳氢发展计划。</w:t>
            </w:r>
          </w:p>
        </w:tc>
      </w:tr>
      <w:tr>
        <w:trPr>
          <w:trHeight w:val="718"/>
        </w:trPr>
        <w:tc>
          <w:tcPr>
            <w:tcW w:w="1382" w:type="dxa"/>
            <w:tcBorders>
              <w:tl2br w:val="nil"/>
              <w:tr2bl w:val="nil"/>
            </w:tcBorders>
            <w:vAlign w:val="center"/>
          </w:tcPr>
          <w:p>
            <w:pPr>
              <w:pStyle w:val="241"/>
              <w:jc w:val="center"/>
            </w:pPr>
            <w:r>
              <w:t>科威特</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19</w:t>
            </w:r>
          </w:p>
        </w:tc>
        <w:tc>
          <w:tcPr>
            <w:tcW w:w="12193" w:type="dxa"/>
            <w:vAlign w:val="center"/>
          </w:tcPr>
          <w:p>
            <w:pPr>
              <w:jc w:val="left"/>
              <w:rPr>
                <w:rFonts w:ascii="宋体" w:cs="宋体" w:hint="eastAsia"/>
                <w:sz w:val="22"/>
              </w:rPr>
            </w:pPr>
            <w:r>
              <w:rPr>
                <w:rFonts w:ascii="宋体" w:cs="宋体"/>
                <w:sz w:val="22"/>
              </w:rPr>
              <w:t>技术法规草案：关于向家庭外消费者提供食品的食品经营场所菜单中食品过敏原的披露（GSO 2605:2024）。本次通报涉及将GSO 2605:2024《关于向家庭外消费者提供食品的食品经营场所菜单中食品过敏原的披露》由自愿性标准转换为强制性技术法规，该技术法规草案规定了向家庭外消费者提供食品的食品经营场所（包括实体菜单、电子菜单、网站及电子订餐平台）菜单中食品过敏原成分的披露要求。此外，草案还包括对每项食品进行清晰且易于获取的过敏原披露要求，使用“含有……”或“可能含有……”等措辞，酌情通过象形图进行披露，明确食品经营场所和供应商的责任，规定自助餐和流动售卖亭的披露方式，以及要求对员工进行培训以避免交叉污染。</w:t>
            </w:r>
          </w:p>
        </w:tc>
      </w:tr>
      <w:tr>
        <w:trPr>
          <w:trHeight w:val="558"/>
        </w:trPr>
        <w:tc>
          <w:tcPr>
            <w:tcW w:w="1382" w:type="dxa"/>
            <w:vMerge w:val="restart"/>
            <w:tcBorders>
              <w:tl2br w:val="nil"/>
              <w:tr2bl w:val="nil"/>
            </w:tcBorders>
            <w:vAlign w:val="center"/>
          </w:tcPr>
          <w:p>
            <w:pPr>
              <w:pStyle w:val="294"/>
              <w:jc w:val="center"/>
            </w:pPr>
            <w:r>
              <w:t>布隆迪</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20</w:t>
            </w:r>
          </w:p>
        </w:tc>
        <w:tc>
          <w:tcPr>
            <w:tcW w:w="12193" w:type="dxa"/>
            <w:vAlign w:val="center"/>
          </w:tcPr>
          <w:p>
            <w:pPr>
              <w:pStyle w:val="107"/>
              <w:jc w:val="left"/>
              <w:rPr>
                <w:rFonts w:ascii="宋体" w:cs="宋体" w:hint="eastAsia"/>
                <w:sz w:val="22"/>
              </w:rPr>
            </w:pPr>
            <w:r>
              <w:rPr>
                <w:rFonts w:ascii="宋体" w:cs="宋体"/>
                <w:sz w:val="22"/>
              </w:rPr>
              <w:t>矿物改性剂-白云石和石灰石-规格。该布隆迪标准草案规定了白云石和石灰石用作基本矿物改良剂以纠正土壤酸度并改善其物理化学和生物特性的要求、取样和分析方法。本标准草案不适用于液体石灰、生石灰和熟石灰。</w:t>
            </w:r>
          </w:p>
        </w:tc>
      </w:tr>
      <w:tr>
        <w:trPr>
          <w:trHeight w:val="47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21</w:t>
            </w:r>
          </w:p>
        </w:tc>
        <w:tc>
          <w:tcPr>
            <w:tcW w:w="12193" w:type="dxa"/>
            <w:vAlign w:val="center"/>
          </w:tcPr>
          <w:p>
            <w:pPr>
              <w:jc w:val="left"/>
              <w:rPr>
                <w:rFonts w:ascii="宋体" w:cs="宋体" w:hint="eastAsia"/>
                <w:sz w:val="22"/>
              </w:rPr>
            </w:pPr>
            <w:r>
              <w:rPr>
                <w:rFonts w:ascii="宋体" w:cs="宋体"/>
                <w:sz w:val="22"/>
              </w:rPr>
              <w:t>有机肥料规格。该布隆迪标准草案规定了有机肥料的要求、分析和取样方法。</w:t>
            </w:r>
          </w:p>
        </w:tc>
      </w:tr>
      <w:tr>
        <w:trPr>
          <w:trHeight w:val="452"/>
        </w:trPr>
        <w:tc>
          <w:tcPr>
            <w:tcW w:w="1382" w:type="dxa"/>
            <w:vMerge w:val="restart"/>
            <w:tcBorders>
              <w:tl2br w:val="nil"/>
              <w:tr2bl w:val="nil"/>
            </w:tcBorders>
            <w:vAlign w:val="center"/>
          </w:tcPr>
          <w:p>
            <w:pPr>
              <w:pStyle w:val="318"/>
              <w:jc w:val="center"/>
              <w:textAlignment w:val="center"/>
            </w:pPr>
            <w:r>
              <w:t>韩国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22</w:t>
            </w:r>
          </w:p>
        </w:tc>
        <w:tc>
          <w:tcPr>
            <w:tcW w:w="12193" w:type="dxa"/>
            <w:vAlign w:val="center"/>
          </w:tcPr>
          <w:p>
            <w:pPr>
              <w:jc w:val="left"/>
              <w:rPr>
                <w:rFonts w:ascii="宋体" w:cs="宋体"/>
                <w:sz w:val="22"/>
              </w:rPr>
            </w:pPr>
            <w:r>
              <w:rPr>
                <w:rFonts w:ascii="宋体" w:cs="宋体"/>
                <w:sz w:val="22"/>
              </w:rPr>
              <w:t>提议修正《食品药品工业检测检验法实施细则》。在指定海外测试及检验实验室的申请表中，就清洁及卫生产品设立详细项目栏，并将提交测试及检验记录的截止日期定为有关年度结束后的两个月内，与适用于国内实验室的截止日期一致，等等</w:t>
            </w:r>
          </w:p>
        </w:tc>
      </w:tr>
      <w:tr>
        <w:trPr>
          <w:trHeight w:val="496"/>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23</w:t>
            </w:r>
          </w:p>
        </w:tc>
        <w:tc>
          <w:tcPr>
            <w:tcW w:w="12193" w:type="dxa"/>
            <w:vAlign w:val="center"/>
          </w:tcPr>
          <w:p>
            <w:pPr>
              <w:jc w:val="left"/>
              <w:rPr>
                <w:rFonts w:ascii="宋体" w:cs="宋体"/>
                <w:sz w:val="22"/>
              </w:rPr>
            </w:pPr>
            <w:r>
              <w:rPr>
                <w:rFonts w:ascii="宋体" w:cs="宋体"/>
                <w:sz w:val="22"/>
              </w:rPr>
              <w:t>《食品标签和广告法执行规则》拟议修正案。拟议修正案如下：将芝麻、紫苏籽、杏仁和腰果纳入强制性食品过敏原标签要求。</w:t>
            </w:r>
          </w:p>
        </w:tc>
      </w:tr>
      <w:tr>
        <w:trPr>
          <w:trHeight w:val="116"/>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09"/>
              <w:jc w:val="center"/>
              <w:rPr>
                <w:rFonts w:ascii="Times New Roman" w:cs="Times New Roman" w:hAnsi="Times New Roman"/>
                <w:color w:val="000000"/>
                <w:sz w:val="22"/>
                <w:szCs w:val="22"/>
              </w:rPr>
            </w:pPr>
            <w:r>
              <w:rPr>
                <w:rFonts w:ascii="Times New Roman" w:cs="Times New Roman" w:hAnsi="Times New Roman"/>
                <w:color w:val="000000"/>
                <w:sz w:val="22"/>
                <w:szCs w:val="22"/>
              </w:rPr>
              <w:t>24</w:t>
            </w:r>
          </w:p>
        </w:tc>
        <w:tc>
          <w:tcPr>
            <w:tcW w:w="12193" w:type="dxa"/>
            <w:vAlign w:val="center"/>
          </w:tcPr>
          <w:p>
            <w:pPr>
              <w:jc w:val="left"/>
              <w:rPr>
                <w:rFonts w:ascii="宋体" w:cs="宋体" w:hint="eastAsia"/>
                <w:sz w:val="22"/>
              </w:rPr>
            </w:pPr>
            <w:r>
              <w:rPr>
                <w:rFonts w:ascii="宋体" w:cs="宋体"/>
                <w:sz w:val="22"/>
              </w:rPr>
              <w:t>自行车安全验证标准修订草案 建立自行车的安全要求（过放电测试、过电流测试、防止进水）。</w:t>
            </w:r>
          </w:p>
        </w:tc>
      </w:tr>
      <w:tr>
        <w:trPr>
          <w:trHeight w:val="97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0"/>
              <w:jc w:val="center"/>
              <w:rPr>
                <w:rFonts w:ascii="Times New Roman" w:cs="Times New Roman" w:hAnsi="Times New Roman"/>
                <w:color w:val="000000"/>
                <w:sz w:val="22"/>
                <w:szCs w:val="22"/>
              </w:rPr>
            </w:pPr>
            <w:r>
              <w:rPr>
                <w:rFonts w:ascii="Times New Roman" w:cs="Times New Roman" w:hAnsi="Times New Roman"/>
                <w:color w:val="000000"/>
                <w:sz w:val="22"/>
                <w:szCs w:val="22"/>
              </w:rPr>
              <w:t>25</w:t>
            </w:r>
          </w:p>
        </w:tc>
        <w:tc>
          <w:tcPr>
            <w:tcW w:w="12193" w:type="dxa"/>
            <w:vAlign w:val="center"/>
          </w:tcPr>
          <w:p>
            <w:pPr>
              <w:jc w:val="left"/>
              <w:rPr>
                <w:rFonts w:ascii="宋体" w:cs="宋体" w:hint="eastAsia"/>
                <w:sz w:val="22"/>
              </w:rPr>
            </w:pPr>
            <w:r>
              <w:rPr>
                <w:rFonts w:ascii="宋体" w:cs="宋体"/>
                <w:sz w:val="22"/>
              </w:rPr>
              <w:t>《韩国草药药典》拟议修正案。食品药品安全部正在对《韩国草药药典》进行如下修订：【附录3.专论第1部分】将“麝香”纯度检查的第3项）改为反映定量分析方法的“防腐剂”检查【附录4.专论第2部分】细化“奈索散提取颗粒”等10个专论的术语。</w:t>
            </w:r>
          </w:p>
        </w:tc>
      </w:tr>
      <w:tr>
        <w:trPr>
          <w:trHeight w:val="3142"/>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1"/>
              <w:jc w:val="center"/>
              <w:rPr>
                <w:rFonts w:ascii="Times New Roman" w:cs="Times New Roman" w:hAnsi="Times New Roman"/>
                <w:color w:val="000000"/>
                <w:sz w:val="22"/>
                <w:szCs w:val="22"/>
              </w:rPr>
            </w:pPr>
            <w:r>
              <w:rPr>
                <w:rFonts w:ascii="Times New Roman" w:cs="Times New Roman" w:hAnsi="Times New Roman"/>
                <w:color w:val="000000"/>
                <w:sz w:val="22"/>
                <w:szCs w:val="22"/>
              </w:rPr>
              <w:t>26</w:t>
            </w:r>
          </w:p>
        </w:tc>
        <w:tc>
          <w:tcPr>
            <w:tcW w:w="12193" w:type="dxa"/>
            <w:vAlign w:val="center"/>
          </w:tcPr>
          <w:p>
            <w:pPr>
              <w:pStyle w:val="210"/>
              <w:jc w:val="left"/>
              <w:rPr>
                <w:rFonts w:ascii="宋体" w:cs="宋体" w:hint="eastAsia"/>
                <w:sz w:val="22"/>
              </w:rPr>
            </w:pPr>
            <w:r>
              <w:rPr>
                <w:rFonts w:ascii="宋体" w:cs="宋体"/>
                <w:sz w:val="22"/>
              </w:rPr>
              <w:t>修订《机动车辆及其零部件性能和标准规则》。此举旨在通过将韩国的车辆灯具安全法规与经重组和修订的国际法规框架及修正案（联合国第148号、第149号和第150号法规的01系列，以及联合国第48号相关法规的08系列）相协调，确保韩国的照明设备达到国际公认的安全水平，以反映照明技术的进步。a.关于允许倒车灯具备投射功能的修正案（草案附件6-10）；b.关于自适应远光灯术语变更和安装要求的修正案，以及允许与自适应远光灯相关的驾驶员辅助投射功能的修正案（草案第38条第3款，附件6-5）；c.关于道路照明设备（包括远光前照灯、近光前照灯、自适应远光灯、前雾灯和弯道照明灯）安装要求和光度要求的修正案（草案附件6-3、附件6-4、附件6-5、附件6-6、附件6-9）；d.关于明确灯光信号装置（包括日间行车灯、前位灯、示廓灯、后位灯、制动灯、转向指示灯、侧标志灯、驻车灯）发光强度要求的修正案，并使其表述与国际车辆安全法规相协调（草案附件6-8、附件6-11、附件6-12、附件6-14、附件6-15、附件6-16、附件6-17、附件6-18、附件6-32）；e.关于明确回复反射器、警告三角牌、重型车辆用后部回复反射标记板、低速车辆用回复反射标记板、回复反射标记的类型和安装要求的修正案，并使回复反射性能要求及其表述与国际车辆安全法规相协调（草案附件6-27、附件6-28、附件30-5、附件30-8、附件32-2）。</w:t>
            </w:r>
          </w:p>
        </w:tc>
      </w:tr>
      <w:tr>
        <w:trPr>
          <w:trHeight w:val="80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2"/>
              <w:jc w:val="center"/>
              <w:rPr>
                <w:rFonts w:ascii="Times New Roman" w:cs="Times New Roman" w:hAnsi="Times New Roman"/>
                <w:color w:val="000000"/>
                <w:sz w:val="22"/>
                <w:szCs w:val="22"/>
              </w:rPr>
            </w:pPr>
            <w:r>
              <w:rPr>
                <w:rFonts w:ascii="Times New Roman" w:cs="Times New Roman" w:hAnsi="Times New Roman"/>
                <w:color w:val="000000"/>
                <w:sz w:val="22"/>
                <w:szCs w:val="22"/>
              </w:rPr>
              <w:t>27</w:t>
            </w:r>
          </w:p>
        </w:tc>
        <w:tc>
          <w:tcPr>
            <w:tcW w:w="12193" w:type="dxa"/>
            <w:vAlign w:val="center"/>
          </w:tcPr>
          <w:p>
            <w:pPr>
              <w:pStyle w:val="211"/>
              <w:jc w:val="left"/>
              <w:rPr>
                <w:rFonts w:ascii="宋体" w:cs="宋体" w:hint="eastAsia"/>
                <w:sz w:val="22"/>
              </w:rPr>
            </w:pPr>
            <w:r>
              <w:rPr>
                <w:rFonts w:ascii="宋体" w:cs="宋体"/>
                <w:sz w:val="22"/>
              </w:rPr>
              <w:t>能效管理设备法规。采用基于二维码的新能源效率标签：将新标签设计应用于所有物品（适配器和充电器除外）能源效率标准修订：电冰箱、泡菜冰箱、电视机、燃气热水器、三相感应电动机、适配器和充电器、标牌展示、冷藏展示柜、音响、无线或有线路由器、微波炉、泵、离心鼓风机、LED灯具）。</w:t>
            </w:r>
          </w:p>
        </w:tc>
      </w:tr>
      <w:tr>
        <w:trPr>
          <w:trHeight w:val="49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3"/>
              <w:jc w:val="center"/>
              <w:rPr>
                <w:rFonts w:ascii="Times New Roman" w:cs="Times New Roman" w:hAnsi="Times New Roman"/>
                <w:color w:val="000000"/>
                <w:sz w:val="22"/>
                <w:szCs w:val="22"/>
              </w:rPr>
            </w:pPr>
            <w:r>
              <w:rPr>
                <w:rFonts w:ascii="Times New Roman" w:cs="Times New Roman" w:hAnsi="Times New Roman"/>
                <w:color w:val="000000"/>
                <w:sz w:val="22"/>
                <w:szCs w:val="22"/>
              </w:rPr>
              <w:t>28</w:t>
            </w:r>
          </w:p>
        </w:tc>
        <w:tc>
          <w:tcPr>
            <w:tcW w:w="12193" w:type="dxa"/>
            <w:vAlign w:val="center"/>
          </w:tcPr>
          <w:p>
            <w:pPr>
              <w:pStyle w:val="213"/>
              <w:jc w:val="left"/>
              <w:rPr>
                <w:rFonts w:ascii="宋体" w:cs="宋体" w:hint="eastAsia"/>
                <w:sz w:val="22"/>
              </w:rPr>
            </w:pPr>
            <w:r>
              <w:rPr>
                <w:rFonts w:ascii="宋体" w:cs="宋体"/>
                <w:sz w:val="22"/>
              </w:rPr>
              <w:t>食品标签和广告法案实施条例的拟议修订案。拟修订如下：在食品过敏原强制性标签要求中加入芝麻、紫苏（籽）、杏仁和腰果。</w:t>
            </w:r>
          </w:p>
        </w:tc>
      </w:tr>
      <w:tr>
        <w:trPr>
          <w:trHeight w:val="754"/>
        </w:trPr>
        <w:tc>
          <w:tcPr>
            <w:tcW w:w="1382" w:type="dxa"/>
            <w:tcBorders>
              <w:tl2br w:val="nil"/>
              <w:tr2bl w:val="nil"/>
            </w:tcBorders>
            <w:vAlign w:val="center"/>
          </w:tcPr>
          <w:p>
            <w:pPr>
              <w:pStyle w:val="297"/>
              <w:jc w:val="center"/>
              <w:textAlignment w:val="center"/>
            </w:pPr>
            <w:r>
              <w:t>肯尼亚</w:t>
            </w:r>
          </w:p>
        </w:tc>
        <w:tc>
          <w:tcPr>
            <w:tcW w:w="596" w:type="dxa"/>
            <w:tcBorders>
              <w:top w:val="single" w:sz="4" w:space="0" w:color="000000"/>
              <w:left w:val="single" w:sz="4" w:space="0" w:color="000000"/>
              <w:right w:val="single" w:sz="4" w:space="0" w:color="000000"/>
            </w:tcBorders>
            <w:vAlign w:val="center"/>
          </w:tcPr>
          <w:p>
            <w:pPr>
              <w:pStyle w:val="114"/>
              <w:jc w:val="center"/>
              <w:rPr>
                <w:rFonts w:ascii="Times New Roman" w:cs="Times New Roman" w:hAnsi="Times New Roman"/>
                <w:color w:val="000000"/>
                <w:sz w:val="22"/>
                <w:szCs w:val="22"/>
              </w:rPr>
            </w:pPr>
            <w:r>
              <w:rPr>
                <w:rFonts w:ascii="Times New Roman" w:cs="Times New Roman" w:hAnsi="Times New Roman"/>
                <w:color w:val="000000"/>
                <w:sz w:val="22"/>
                <w:szCs w:val="22"/>
              </w:rPr>
              <w:t>29</w:t>
            </w:r>
          </w:p>
        </w:tc>
        <w:tc>
          <w:tcPr>
            <w:tcW w:w="12193" w:type="dxa"/>
            <w:vAlign w:val="center"/>
          </w:tcPr>
          <w:p>
            <w:pPr>
              <w:pStyle w:val="215"/>
              <w:jc w:val="left"/>
              <w:rPr>
                <w:rFonts w:ascii="宋体" w:cs="宋体" w:hint="eastAsia"/>
                <w:sz w:val="22"/>
              </w:rPr>
            </w:pPr>
            <w:r>
              <w:rPr>
                <w:rFonts w:ascii="宋体" w:cs="宋体"/>
                <w:sz w:val="22"/>
              </w:rPr>
              <w:t>DKS 3057：2026谷物饮料实施规范。本标准草案规定了谷物粥生产的要求、取样和检测方法。本标准不涵盖适用于6个月至24个月龄的复合面粉和辅食。</w:t>
            </w:r>
          </w:p>
        </w:tc>
      </w:tr>
      <w:tr>
        <w:trPr>
          <w:trHeight w:val="472"/>
        </w:trPr>
        <w:tc>
          <w:tcPr>
            <w:tcW w:w="1382" w:type="dxa"/>
            <w:tcBorders>
              <w:tl2br w:val="nil"/>
              <w:tr2bl w:val="nil"/>
            </w:tcBorders>
            <w:vAlign w:val="center"/>
          </w:tcPr>
          <w:p>
            <w:pPr>
              <w:pStyle w:val="269"/>
              <w:jc w:val="center"/>
            </w:pPr>
            <w:r>
              <w:t>卢旺达</w:t>
            </w:r>
          </w:p>
        </w:tc>
        <w:tc>
          <w:tcPr>
            <w:tcW w:w="596" w:type="dxa"/>
            <w:tcBorders>
              <w:top w:val="single" w:sz="4" w:space="0" w:color="000000"/>
              <w:left w:val="single" w:sz="4" w:space="0" w:color="000000"/>
              <w:right w:val="single" w:sz="4" w:space="0" w:color="000000"/>
            </w:tcBorders>
            <w:vAlign w:val="center"/>
          </w:tcPr>
          <w:p>
            <w:pPr>
              <w:pStyle w:val="115"/>
              <w:jc w:val="center"/>
              <w:rPr>
                <w:rFonts w:ascii="Times New Roman" w:cs="Times New Roman" w:hAnsi="Times New Roman"/>
                <w:color w:val="000000"/>
                <w:sz w:val="22"/>
                <w:szCs w:val="22"/>
              </w:rPr>
            </w:pPr>
            <w:r>
              <w:rPr>
                <w:rFonts w:ascii="Times New Roman" w:cs="Times New Roman" w:hAnsi="Times New Roman"/>
                <w:color w:val="000000"/>
                <w:sz w:val="22"/>
                <w:szCs w:val="22"/>
              </w:rPr>
              <w:t>30</w:t>
            </w:r>
          </w:p>
        </w:tc>
        <w:tc>
          <w:tcPr>
            <w:tcW w:w="12193" w:type="dxa"/>
            <w:vAlign w:val="center"/>
          </w:tcPr>
          <w:p>
            <w:pPr>
              <w:pStyle w:val="89"/>
              <w:jc w:val="left"/>
              <w:rPr>
                <w:rFonts w:ascii="宋体" w:cs="宋体"/>
                <w:sz w:val="22"/>
              </w:rPr>
            </w:pPr>
            <w:r>
              <w:rPr>
                <w:rFonts w:ascii="宋体" w:cs="宋体"/>
                <w:sz w:val="22"/>
              </w:rPr>
              <w:t>DRS 649：2026，包衣花生规范。该标准草案规定了供人食用的涂层花生的要求、取样和测试方法。</w:t>
            </w:r>
          </w:p>
        </w:tc>
      </w:tr>
      <w:tr>
        <w:trPr>
          <w:trHeight w:val="613"/>
        </w:trPr>
        <w:tc>
          <w:tcPr>
            <w:tcW w:w="1382" w:type="dxa"/>
            <w:vMerge w:val="restart"/>
            <w:tcBorders>
              <w:tl2br w:val="nil"/>
              <w:tr2bl w:val="nil"/>
            </w:tcBorders>
            <w:vAlign w:val="center"/>
          </w:tcPr>
          <w:p>
            <w:pPr>
              <w:pStyle w:val="321"/>
              <w:jc w:val="center"/>
            </w:pPr>
            <w:r>
              <w:t>马拉维</w:t>
            </w:r>
          </w:p>
        </w:tc>
        <w:tc>
          <w:tcPr>
            <w:tcW w:w="596" w:type="dxa"/>
            <w:tcBorders>
              <w:top w:val="single" w:sz="4" w:space="0" w:color="000000"/>
              <w:left w:val="single" w:sz="4" w:space="0" w:color="000000"/>
              <w:right w:val="single" w:sz="4" w:space="0" w:color="000000"/>
            </w:tcBorders>
            <w:vAlign w:val="center"/>
          </w:tcPr>
          <w:p>
            <w:pPr>
              <w:pStyle w:val="116"/>
              <w:jc w:val="center"/>
              <w:rPr>
                <w:rFonts w:ascii="Times New Roman" w:cs="Times New Roman" w:hAnsi="Times New Roman"/>
                <w:color w:val="000000"/>
                <w:sz w:val="22"/>
                <w:szCs w:val="22"/>
              </w:rPr>
            </w:pPr>
            <w:r>
              <w:rPr>
                <w:rFonts w:ascii="Times New Roman" w:cs="Times New Roman" w:hAnsi="Times New Roman"/>
                <w:color w:val="000000"/>
                <w:sz w:val="22"/>
                <w:szCs w:val="22"/>
              </w:rPr>
              <w:t>31</w:t>
            </w:r>
          </w:p>
        </w:tc>
        <w:tc>
          <w:tcPr>
            <w:tcW w:w="12193" w:type="dxa"/>
            <w:vAlign w:val="center"/>
          </w:tcPr>
          <w:p>
            <w:pPr>
              <w:jc w:val="left"/>
              <w:rPr>
                <w:rFonts w:ascii="宋体" w:cs="宋体"/>
                <w:sz w:val="22"/>
              </w:rPr>
            </w:pPr>
            <w:r>
              <w:rPr>
                <w:rFonts w:ascii="宋体" w:cs="宋体"/>
                <w:sz w:val="22"/>
              </w:rPr>
              <w:t>DMS 699：2026天然矿泉水以外的包装饮用水规范。本标准草案规定了除天然矿泉水以外供人类直接饮用的包装饮用水的要求、取样和试验方法。它也适用于消费者提供自己的容器来收集饮用水的净化单元。</w:t>
            </w:r>
          </w:p>
        </w:tc>
      </w:tr>
      <w:tr>
        <w:trPr>
          <w:trHeight w:val="664"/>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7"/>
              <w:jc w:val="center"/>
              <w:rPr>
                <w:rFonts w:ascii="Times New Roman" w:cs="Times New Roman" w:hAnsi="Times New Roman"/>
                <w:color w:val="000000"/>
                <w:sz w:val="22"/>
                <w:szCs w:val="22"/>
              </w:rPr>
            </w:pPr>
            <w:r>
              <w:rPr>
                <w:rFonts w:ascii="Times New Roman" w:cs="Times New Roman" w:hAnsi="Times New Roman"/>
                <w:color w:val="000000"/>
                <w:sz w:val="22"/>
                <w:szCs w:val="22"/>
              </w:rPr>
              <w:t>32</w:t>
            </w:r>
          </w:p>
        </w:tc>
        <w:tc>
          <w:tcPr>
            <w:tcW w:w="12193" w:type="dxa"/>
            <w:vAlign w:val="center"/>
          </w:tcPr>
          <w:p>
            <w:pPr>
              <w:pStyle w:val="168"/>
              <w:jc w:val="left"/>
              <w:rPr>
                <w:rFonts w:ascii="宋体" w:cs="宋体"/>
                <w:sz w:val="22"/>
              </w:rPr>
            </w:pPr>
            <w:r>
              <w:rPr>
                <w:rFonts w:ascii="宋体" w:cs="宋体"/>
                <w:sz w:val="22"/>
              </w:rPr>
              <w:t>DMS 560：2026天然矿泉水规范。该标准草案规定了供人类消费的天然矿泉水的要求、取样和测试方法。它不适用于出售或用于其他目的的天然矿泉水。</w:t>
            </w:r>
          </w:p>
        </w:tc>
      </w:tr>
      <w:tr>
        <w:trPr>
          <w:trHeight w:val="5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8"/>
              <w:jc w:val="center"/>
              <w:rPr>
                <w:rFonts w:ascii="Times New Roman" w:cs="Times New Roman" w:hAnsi="Times New Roman"/>
                <w:color w:val="000000"/>
                <w:sz w:val="22"/>
                <w:szCs w:val="22"/>
              </w:rPr>
            </w:pPr>
            <w:r>
              <w:rPr>
                <w:rFonts w:ascii="Times New Roman" w:cs="Times New Roman" w:hAnsi="Times New Roman"/>
                <w:color w:val="000000"/>
                <w:sz w:val="22"/>
                <w:szCs w:val="22"/>
              </w:rPr>
              <w:t>33</w:t>
            </w:r>
          </w:p>
        </w:tc>
        <w:tc>
          <w:tcPr>
            <w:tcW w:w="12193" w:type="dxa"/>
            <w:vAlign w:val="center"/>
          </w:tcPr>
          <w:p>
            <w:pPr>
              <w:pStyle w:val="92"/>
              <w:jc w:val="left"/>
              <w:rPr>
                <w:rFonts w:ascii="宋体" w:cs="宋体"/>
                <w:sz w:val="22"/>
              </w:rPr>
            </w:pPr>
            <w:r>
              <w:rPr>
                <w:rFonts w:ascii="宋体" w:cs="宋体"/>
                <w:sz w:val="22"/>
              </w:rPr>
              <w:t>DMS 1691：2026玉米大豆混合物规范。本标准草案规定了玉米大豆混合物的取样和测试的要求和方法。</w:t>
            </w:r>
          </w:p>
        </w:tc>
      </w:tr>
      <w:tr>
        <w:trPr>
          <w:trHeight w:val="1342"/>
        </w:trPr>
        <w:tc>
          <w:tcPr>
            <w:tcW w:w="1382" w:type="dxa"/>
            <w:vMerge w:val="restart"/>
            <w:tcBorders>
              <w:tl2br w:val="nil"/>
              <w:tr2bl w:val="nil"/>
            </w:tcBorders>
            <w:vAlign w:val="center"/>
          </w:tcPr>
          <w:p>
            <w:pPr>
              <w:pStyle w:val="324"/>
              <w:jc w:val="center"/>
            </w:pPr>
            <w:r>
              <w:t>秘鲁</w:t>
            </w:r>
          </w:p>
        </w:tc>
        <w:tc>
          <w:tcPr>
            <w:tcW w:w="596" w:type="dxa"/>
            <w:tcBorders>
              <w:top w:val="single" w:sz="4" w:space="0" w:color="000000"/>
              <w:left w:val="single" w:sz="4" w:space="0" w:color="000000"/>
              <w:right w:val="single" w:sz="4" w:space="0" w:color="000000"/>
            </w:tcBorders>
            <w:vAlign w:val="center"/>
          </w:tcPr>
          <w:p>
            <w:pPr>
              <w:pStyle w:val="119"/>
              <w:jc w:val="center"/>
              <w:rPr>
                <w:rFonts w:ascii="Times New Roman" w:cs="Times New Roman" w:hAnsi="Times New Roman"/>
                <w:color w:val="000000"/>
                <w:sz w:val="22"/>
                <w:szCs w:val="22"/>
              </w:rPr>
            </w:pPr>
            <w:r>
              <w:rPr>
                <w:rFonts w:ascii="Times New Roman" w:cs="Times New Roman" w:hAnsi="Times New Roman"/>
                <w:color w:val="000000"/>
                <w:sz w:val="22"/>
                <w:szCs w:val="22"/>
              </w:rPr>
              <w:t>34</w:t>
            </w:r>
          </w:p>
        </w:tc>
        <w:tc>
          <w:tcPr>
            <w:tcW w:w="12193" w:type="dxa"/>
            <w:vAlign w:val="center"/>
          </w:tcPr>
          <w:p>
            <w:pPr>
              <w:jc w:val="left"/>
              <w:rPr>
                <w:rFonts w:ascii="宋体" w:cs="宋体"/>
                <w:sz w:val="22"/>
              </w:rPr>
            </w:pPr>
            <w:r>
              <w:rPr>
                <w:rFonts w:ascii="宋体" w:cs="宋体"/>
                <w:sz w:val="22"/>
              </w:rPr>
              <w:t>关于修改并纳入十一（11）份附件至第009-2017-EM号最高法令批准的《能源设备能效标签技术法规》的最高法令草案。本法令旨在修改并纳入十一（11）份附件至第009-2017-EM号最高法令，以期通过新增附件将适用范围扩大至其他能源设备类别，并根据所作修改批准相关补充规定。以下为十一份新附件的具体内容：附件10：电视机，附件11：电磁炉附件，12：微波炉附件，13：电气和电子设备及办公设备附件，14：电烤箱，附件15：便携式电烤箱，附件16：落地扇和壁扇，附件17：吊扇，附件18：洗碗机，附件19：LED及类似通用照明光源控制装置，附件20：燃气灶。</w:t>
            </w:r>
          </w:p>
        </w:tc>
      </w:tr>
      <w:tr>
        <w:trPr>
          <w:trHeight w:val="101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0"/>
              <w:jc w:val="center"/>
              <w:rPr>
                <w:rFonts w:ascii="Times New Roman" w:cs="Times New Roman" w:hAnsi="Times New Roman"/>
                <w:color w:val="000000"/>
                <w:sz w:val="22"/>
                <w:szCs w:val="22"/>
              </w:rPr>
            </w:pPr>
            <w:r>
              <w:rPr>
                <w:rFonts w:ascii="Times New Roman" w:cs="Times New Roman" w:hAnsi="Times New Roman"/>
                <w:color w:val="000000"/>
                <w:sz w:val="22"/>
                <w:szCs w:val="22"/>
              </w:rPr>
              <w:t>35</w:t>
            </w:r>
          </w:p>
        </w:tc>
        <w:tc>
          <w:tcPr>
            <w:tcW w:w="12193" w:type="dxa"/>
            <w:vAlign w:val="center"/>
          </w:tcPr>
          <w:p>
            <w:pPr>
              <w:pStyle w:val="62"/>
              <w:jc w:val="left"/>
              <w:rPr>
                <w:rFonts w:ascii="宋体" w:cs="宋体"/>
                <w:sz w:val="22"/>
              </w:rPr>
            </w:pPr>
            <w:r>
              <w:rPr>
                <w:rFonts w:ascii="宋体" w:cs="宋体"/>
                <w:sz w:val="22"/>
              </w:rPr>
              <w:t>批准照明光源最低能效标准技术条例的最高法令草案。本技术法规旨在规定照明光源在制造时须满足的最低能效标准，并适用于其国内消费、进口、分销及在本国的销售；同时，其宗旨在于通过制定在境内使用的照明光源最低能效标准的相关规定，促进能源的高效利用，从而提高照明光源能效水平，降低能耗，减缓气候变化影响，保护环境，维护公众健康和社会福祉。</w:t>
            </w:r>
          </w:p>
        </w:tc>
      </w:tr>
      <w:tr>
        <w:trPr>
          <w:trHeight w:val="1549"/>
        </w:trPr>
        <w:tc>
          <w:tcPr>
            <w:tcW w:w="1382" w:type="dxa"/>
            <w:vMerge w:val="restart"/>
            <w:tcBorders>
              <w:tl2br w:val="nil"/>
              <w:tr2bl w:val="nil"/>
            </w:tcBorders>
            <w:vAlign w:val="center"/>
          </w:tcPr>
          <w:p>
            <w:pPr>
              <w:pStyle w:val="326"/>
              <w:jc w:val="center"/>
              <w:textAlignment w:val="center"/>
            </w:pPr>
            <w:r>
              <w:t>欧盟</w:t>
            </w:r>
          </w:p>
        </w:tc>
        <w:tc>
          <w:tcPr>
            <w:tcW w:w="596" w:type="dxa"/>
            <w:tcBorders>
              <w:top w:val="single" w:sz="4" w:space="0" w:color="000000"/>
              <w:left w:val="single" w:sz="4" w:space="0" w:color="000000"/>
              <w:right w:val="single" w:sz="4" w:space="0" w:color="000000"/>
            </w:tcBorders>
            <w:vAlign w:val="center"/>
          </w:tcPr>
          <w:p>
            <w:pPr>
              <w:pStyle w:val="121"/>
              <w:jc w:val="center"/>
              <w:rPr>
                <w:rFonts w:ascii="Times New Roman" w:cs="Times New Roman" w:hAnsi="Times New Roman"/>
                <w:color w:val="000000"/>
                <w:sz w:val="22"/>
                <w:szCs w:val="22"/>
              </w:rPr>
            </w:pPr>
            <w:r>
              <w:rPr>
                <w:rFonts w:ascii="Times New Roman" w:cs="Times New Roman" w:hAnsi="Times New Roman"/>
                <w:color w:val="000000"/>
                <w:sz w:val="22"/>
                <w:szCs w:val="22"/>
              </w:rPr>
              <w:t>36</w:t>
            </w:r>
          </w:p>
        </w:tc>
        <w:tc>
          <w:tcPr>
            <w:tcW w:w="12193" w:type="dxa"/>
            <w:vAlign w:val="center"/>
          </w:tcPr>
          <w:p>
            <w:pPr>
              <w:pStyle w:val="63"/>
              <w:jc w:val="left"/>
              <w:rPr>
                <w:rFonts w:ascii="宋体" w:cs="宋体"/>
                <w:sz w:val="22"/>
              </w:rPr>
            </w:pPr>
            <w:r>
              <w:rPr>
                <w:rFonts w:ascii="宋体" w:cs="宋体"/>
                <w:sz w:val="22"/>
              </w:rPr>
              <w:t>欧盟委员会执行条例草案，规定了欧洲议会和理事会关于确定塑料废物何时不再是废物的标准的第2008/98/EC号指令的适用规则。根据欧洲议会和理事会关于废物的指令2008/98/EC第6（2）条规定的授权，欧盟委员会实施条例草案为塑料废物制定了统一的全欧盟范围的废物处理标准。委员会实施条例草案将适用于所有废弃的热塑性塑料聚合物和热塑性聚合物共混物，无论废物的聚合物类型和来源如何，可用作机械或溶剂回收的投入。欧盟范围内的废物结束标准也将适用于希望将回收塑料作为非废物投放到欧盟市场的第三国运营商（欧盟委员会实施条例第5条）。</w:t>
            </w:r>
          </w:p>
        </w:tc>
      </w:tr>
      <w:tr>
        <w:trPr>
          <w:trHeight w:val="209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2"/>
              <w:jc w:val="center"/>
              <w:rPr>
                <w:rFonts w:ascii="Times New Roman" w:cs="Times New Roman" w:hAnsi="Times New Roman"/>
                <w:color w:val="000000"/>
                <w:sz w:val="22"/>
                <w:szCs w:val="22"/>
              </w:rPr>
            </w:pPr>
            <w:r>
              <w:rPr>
                <w:rFonts w:ascii="Times New Roman" w:cs="Times New Roman" w:hAnsi="Times New Roman"/>
                <w:color w:val="000000"/>
                <w:sz w:val="22"/>
                <w:szCs w:val="22"/>
              </w:rPr>
              <w:t>37</w:t>
            </w:r>
          </w:p>
        </w:tc>
        <w:tc>
          <w:tcPr>
            <w:tcW w:w="12193" w:type="dxa"/>
            <w:vAlign w:val="center"/>
          </w:tcPr>
          <w:p>
            <w:pPr>
              <w:jc w:val="left"/>
              <w:rPr>
                <w:rFonts w:ascii="宋体" w:cs="宋体"/>
                <w:sz w:val="22"/>
              </w:rPr>
            </w:pPr>
            <w:r>
              <w:rPr>
                <w:rFonts w:ascii="宋体" w:cs="宋体"/>
                <w:sz w:val="22"/>
              </w:rPr>
              <w:t>关于依据欧洲议会和理事会（EU）第528/2012号法规，不予批准分别用于产品类型11、12、22和12的生物杀灭产品中的活性物质——通过电解溴化钠产生的活性溴、烷基（C12-C14）二甲基苄基氯化铵和过氧化氢的欧盟委员会实施决定草案。本委员会实施决定草案根据欧洲议会和理事会（EU）第528/2012号法规，不予批准生物杀灭产品中的某些活性物质。对于（EU）第1062/2014号法规附件二所列现有活性物质评审计划中所包含的这些活性物质/产品类型组合，所有参与方均已撤回或被视为已撤回其支持。对于这些活性物质，此前要么已有参与方接管了角色，要么没有。对于那些此前未被接管参与方角色的活性物质，未向欧洲化学品管理局提交任何通知。因此，所有这些活性物质/产品类型组合均不应被批准用于生物杀灭产品。其结果是，经此类活性物质处理或含有此类活性物质的处理物品，自本决定生效之日起180天后，亦不得在欧盟市场上投放。</w:t>
            </w:r>
          </w:p>
        </w:tc>
      </w:tr>
      <w:tr>
        <w:trPr>
          <w:trHeight w:val="60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3"/>
              <w:jc w:val="center"/>
              <w:rPr>
                <w:rFonts w:ascii="Times New Roman" w:cs="Times New Roman" w:hAnsi="Times New Roman"/>
                <w:color w:val="000000"/>
                <w:sz w:val="22"/>
                <w:szCs w:val="22"/>
              </w:rPr>
            </w:pPr>
            <w:r>
              <w:rPr>
                <w:rFonts w:ascii="Times New Roman" w:cs="Times New Roman" w:hAnsi="Times New Roman"/>
                <w:color w:val="000000"/>
                <w:sz w:val="22"/>
                <w:szCs w:val="22"/>
              </w:rPr>
              <w:t>38</w:t>
            </w:r>
          </w:p>
        </w:tc>
        <w:tc>
          <w:tcPr>
            <w:tcW w:w="12193" w:type="dxa"/>
            <w:vAlign w:val="center"/>
          </w:tcPr>
          <w:p>
            <w:pPr>
              <w:jc w:val="left"/>
              <w:rPr>
                <w:rFonts w:ascii="宋体" w:cs="宋体"/>
                <w:sz w:val="22"/>
              </w:rPr>
            </w:pPr>
            <w:r>
              <w:rPr>
                <w:rFonts w:ascii="宋体" w:cs="宋体"/>
                <w:sz w:val="22"/>
              </w:rPr>
              <w:t>欧盟委员会指令草案，关于修订欧洲议会和理事会第2009/48/EC号指令附件II中涉及玩具中致敏性芳香剂、双酚A、苯酚及苯并异噻唑啉酮的相关规定。该草案将对关于玩具安全的第2009/48/EC号指令作出以下修订：将香料铃兰醛纳入该指令附件II第11点第一段所列的禁用致敏性芳香剂清单中；删除该指令附件II附录C中关于将EN 71-10和EN 71-11标准作为玩具中双酚A、苯酚和苯并异噻唑啉酮强制性检测方法的引用；将该指令附件II附录C中双酚A的限值降低至0.005 mg/L。</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4"/>
              <w:jc w:val="center"/>
              <w:rPr>
                <w:rFonts w:ascii="Times New Roman" w:cs="Times New Roman" w:hAnsi="Times New Roman"/>
                <w:color w:val="000000"/>
                <w:sz w:val="22"/>
                <w:szCs w:val="22"/>
              </w:rPr>
            </w:pPr>
            <w:r>
              <w:rPr>
                <w:rFonts w:ascii="Times New Roman" w:cs="Times New Roman" w:hAnsi="Times New Roman"/>
                <w:color w:val="000000"/>
                <w:sz w:val="22"/>
                <w:szCs w:val="22"/>
              </w:rPr>
              <w:t>39</w:t>
            </w:r>
          </w:p>
        </w:tc>
        <w:tc>
          <w:tcPr>
            <w:tcW w:w="12193" w:type="dxa"/>
            <w:vAlign w:val="center"/>
          </w:tcPr>
          <w:p>
            <w:pPr>
              <w:jc w:val="left"/>
              <w:rPr>
                <w:rFonts w:ascii="宋体" w:cs="宋体"/>
                <w:sz w:val="22"/>
              </w:rPr>
            </w:pPr>
            <w:r>
              <w:rPr>
                <w:rFonts w:ascii="宋体" w:cs="宋体"/>
                <w:sz w:val="22"/>
              </w:rPr>
              <w:t>委员会授权法规草案，关于就授权在仔猪和幼禽营养中使用非有机蛋白质饲料事宜修订欧洲议会和理事会条例（EU）2018/848附件II。本委员会法规草案修订了基础有机法规（EU）2018/848，将允许在有机仔猪和有机幼禽营养中使用有限比例非有机蛋白质饲料的授权期限予以延长。由于有机蛋白质饲料严重短缺，拟议的10年延期（即延长至2036年12月31日）旨在确保有机行业的平稳运行。</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5"/>
              <w:jc w:val="center"/>
              <w:rPr>
                <w:rFonts w:ascii="Times New Roman" w:cs="Times New Roman" w:hAnsi="Times New Roman"/>
                <w:color w:val="000000"/>
                <w:sz w:val="22"/>
                <w:szCs w:val="22"/>
              </w:rPr>
            </w:pPr>
            <w:r>
              <w:rPr>
                <w:rFonts w:ascii="Times New Roman" w:cs="Times New Roman" w:hAnsi="Times New Roman"/>
                <w:color w:val="000000"/>
                <w:sz w:val="22"/>
                <w:szCs w:val="22"/>
              </w:rPr>
              <w:t>40</w:t>
            </w:r>
          </w:p>
        </w:tc>
        <w:tc>
          <w:tcPr>
            <w:tcW w:w="12193" w:type="dxa"/>
            <w:vAlign w:val="center"/>
          </w:tcPr>
          <w:p>
            <w:pPr>
              <w:jc w:val="left"/>
              <w:rPr>
                <w:rFonts w:ascii="宋体" w:cs="宋体"/>
                <w:sz w:val="22"/>
              </w:rPr>
            </w:pPr>
            <w:r>
              <w:rPr>
                <w:rFonts w:ascii="宋体" w:cs="宋体"/>
                <w:sz w:val="22"/>
              </w:rPr>
              <w:t>补充欧洲议会和理事会第2023/1542号(EU)法规的委员会授权法规草案，建立了计算和验证某些电池中钴、镍、锂和铅回收含量的方法，以及此类回收内容的记录格式； 该委员会授权法规草案规定了如何根据《电池法规》第8条规定的工业、电动汽车、SLI和LMT电池中回收含量的要求和最低份额来计算和验证锂、镍、钴和铅的回收含量。</w:t>
            </w:r>
          </w:p>
        </w:tc>
      </w:tr>
      <w:tr>
        <w:trPr>
          <w:trHeight w:val="286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6"/>
              <w:jc w:val="center"/>
              <w:rPr>
                <w:rFonts w:ascii="Times New Roman" w:cs="Times New Roman" w:hAnsi="Times New Roman"/>
                <w:color w:val="000000"/>
                <w:sz w:val="22"/>
                <w:szCs w:val="22"/>
              </w:rPr>
            </w:pPr>
            <w:r>
              <w:rPr>
                <w:rFonts w:ascii="Times New Roman" w:cs="Times New Roman" w:hAnsi="Times New Roman"/>
                <w:color w:val="000000"/>
                <w:sz w:val="22"/>
                <w:szCs w:val="22"/>
              </w:rPr>
              <w:t>41</w:t>
            </w:r>
          </w:p>
        </w:tc>
        <w:tc>
          <w:tcPr>
            <w:tcW w:w="12193" w:type="dxa"/>
            <w:vAlign w:val="center"/>
          </w:tcPr>
          <w:p>
            <w:pPr>
              <w:jc w:val="left"/>
              <w:rPr>
                <w:rFonts w:ascii="宋体" w:cs="宋体"/>
                <w:sz w:val="22"/>
              </w:rPr>
            </w:pPr>
            <w:r>
              <w:rPr>
                <w:rFonts w:ascii="宋体" w:cs="宋体"/>
                <w:sz w:val="22"/>
              </w:rPr>
              <w:t>为适应技术和科学进步，修订欧洲议会和理事会关于物质和混合物的分类、标签和包装的第1272/2008号(EC)条例的委员会授权条例草案，并对该条例进行更正。在欧盟范围内，物质和混合物的分类、标签和包装的规定与标准由（EC）第1272/2008号法规统一协调。CLP法规纳入了联合国全球化学品统一分类和标签制度（GHS）的分类标准和危害信息传递要素。联合国经济及社会理事会全球化学品统一分类和标签制度专家小组委员会定期对GHS进行修订，以纳入新的科学信息、技术进步和实施经验。这些修订通常会更新分类标准、危险说明、防范说明和标签要素，从而在促进国际贸易的同时，加强对人类健康和环境的保护。欧盟已承诺实施GHS。为确保与GHS持续保持一致，并支持在国际层面统一化学品危害分类和危害信息传递的目标，CLP法规会定期进行修订。这些修订体现了GHS在联合国层面分类标准和标签规则每两年一次的更新。本倡议对CLP法规的附件进行调整，使其与分别于2018年、2020年和2022年通过的GHS第8、第9和第10修订版保持一致。此外，在气溶胶和皮肤致敏物（混合物）方面，本倡议也部分落实了GHS第11修订版的内容。</w:t>
            </w:r>
          </w:p>
        </w:tc>
      </w:tr>
      <w:tr>
        <w:trPr>
          <w:trHeight w:val="7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7"/>
              <w:jc w:val="center"/>
              <w:rPr>
                <w:rFonts w:ascii="Times New Roman" w:cs="Times New Roman" w:hAnsi="Times New Roman"/>
                <w:color w:val="000000"/>
                <w:sz w:val="22"/>
                <w:szCs w:val="22"/>
              </w:rPr>
            </w:pPr>
            <w:r>
              <w:rPr>
                <w:rFonts w:ascii="Times New Roman" w:cs="Times New Roman" w:hAnsi="Times New Roman"/>
                <w:color w:val="000000"/>
                <w:sz w:val="22"/>
                <w:szCs w:val="22"/>
              </w:rPr>
              <w:t>42</w:t>
            </w:r>
          </w:p>
        </w:tc>
        <w:tc>
          <w:tcPr>
            <w:tcW w:w="12193" w:type="dxa"/>
            <w:vAlign w:val="center"/>
          </w:tcPr>
          <w:p>
            <w:pPr>
              <w:jc w:val="left"/>
              <w:rPr>
                <w:rFonts w:ascii="宋体" w:cs="宋体"/>
                <w:sz w:val="22"/>
              </w:rPr>
            </w:pPr>
            <w:r>
              <w:rPr>
                <w:rFonts w:ascii="宋体" w:cs="宋体"/>
                <w:sz w:val="22"/>
              </w:rPr>
              <w:t>欧洲议会和理事会关于欧盟网络安全局、欧洲网络安全认证框架和信通技术供应链安全的条例提案，并废除(EU)2019/881号条例。该通报涉及关于欧洲网络安全认证框架的拟议法规第三章。</w:t>
            </w:r>
          </w:p>
        </w:tc>
      </w:tr>
      <w:tr>
        <w:trPr>
          <w:trHeight w:val="1623"/>
        </w:trPr>
        <w:tc>
          <w:tcPr>
            <w:tcW w:w="1382" w:type="dxa"/>
            <w:tcBorders>
              <w:tl2br w:val="nil"/>
              <w:tr2bl w:val="nil"/>
            </w:tcBorders>
            <w:vAlign w:val="center"/>
          </w:tcPr>
          <w:p>
            <w:pPr>
              <w:pStyle w:val="300"/>
              <w:jc w:val="center"/>
              <w:textAlignment w:val="center"/>
            </w:pPr>
            <w:r>
              <w:t>日本</w:t>
            </w:r>
          </w:p>
        </w:tc>
        <w:tc>
          <w:tcPr>
            <w:tcW w:w="596" w:type="dxa"/>
            <w:tcBorders>
              <w:top w:val="single" w:sz="4" w:space="0" w:color="000000"/>
              <w:left w:val="single" w:sz="4" w:space="0" w:color="000000"/>
              <w:right w:val="single" w:sz="4" w:space="0" w:color="000000"/>
            </w:tcBorders>
            <w:vAlign w:val="center"/>
          </w:tcPr>
          <w:p>
            <w:pPr>
              <w:pStyle w:val="128"/>
              <w:jc w:val="center"/>
              <w:rPr>
                <w:rFonts w:ascii="Times New Roman" w:cs="Times New Roman" w:hAnsi="Times New Roman"/>
                <w:color w:val="000000"/>
                <w:sz w:val="22"/>
                <w:szCs w:val="22"/>
              </w:rPr>
            </w:pPr>
            <w:r>
              <w:rPr>
                <w:rFonts w:ascii="Times New Roman" w:cs="Times New Roman" w:hAnsi="Times New Roman"/>
                <w:color w:val="000000"/>
                <w:sz w:val="22"/>
                <w:szCs w:val="22"/>
              </w:rPr>
              <w:t>43</w:t>
            </w:r>
          </w:p>
        </w:tc>
        <w:tc>
          <w:tcPr>
            <w:tcW w:w="12193" w:type="dxa"/>
            <w:vAlign w:val="center"/>
          </w:tcPr>
          <w:p>
            <w:pPr>
              <w:jc w:val="left"/>
              <w:rPr>
                <w:rFonts w:ascii="宋体" w:cs="宋体"/>
                <w:sz w:val="22"/>
              </w:rPr>
            </w:pPr>
            <w:r>
              <w:rPr>
                <w:rFonts w:ascii="宋体" w:cs="宋体"/>
                <w:sz w:val="22"/>
              </w:rPr>
              <w:t>降低肠根结线虫传入风险的紧急措施。为防止肠根结线虫传入日本，MAFF将要求出口地区/国家的国家植物保护组织(NPPO)证明：对于附件中列出的能够种植栽培的活植物的地下部分：i) 所述植物在生产地点或生产场所(包括植物生长设施)生长，其中肠杆菌尚未已知发生或先前已知发生但已被根除；和ii) 在生长季节期间在生产地点或生产场所检查植物，并且通过适当的线虫学测试检查植物的生长介质和地下部分，并且发现不含肠杆菌。因此，NPPO的出口地区/国家将被要求包括一个额外的声明，例如，声明"符合《植物保护法实施条例》（MAF第73/1950号条例）附表2-2第13项"。</w:t>
            </w:r>
          </w:p>
        </w:tc>
      </w:tr>
      <w:tr>
        <w:trPr>
          <w:trHeight w:val="1203"/>
        </w:trPr>
        <w:tc>
          <w:tcPr>
            <w:tcW w:w="1382" w:type="dxa"/>
            <w:tcBorders>
              <w:tl2br w:val="nil"/>
              <w:tr2bl w:val="nil"/>
            </w:tcBorders>
            <w:vAlign w:val="center"/>
          </w:tcPr>
          <w:p>
            <w:pPr>
              <w:pStyle w:val="300"/>
              <w:jc w:val="center"/>
              <w:textAlignment w:val="center"/>
            </w:pPr>
            <w:r>
              <w:t>萨尔瓦多</w:t>
            </w:r>
          </w:p>
        </w:tc>
        <w:tc>
          <w:tcPr>
            <w:tcW w:w="596" w:type="dxa"/>
            <w:tcBorders>
              <w:top w:val="single" w:sz="4" w:space="0" w:color="000000"/>
              <w:left w:val="single" w:sz="4" w:space="0" w:color="000000"/>
              <w:right w:val="single" w:sz="4" w:space="0" w:color="000000"/>
            </w:tcBorders>
            <w:vAlign w:val="center"/>
          </w:tcPr>
          <w:p>
            <w:pPr>
              <w:pStyle w:val="129"/>
              <w:jc w:val="center"/>
              <w:rPr>
                <w:rFonts w:ascii="Times New Roman" w:cs="Times New Roman" w:hAnsi="Times New Roman"/>
                <w:color w:val="000000"/>
                <w:sz w:val="22"/>
                <w:szCs w:val="22"/>
              </w:rPr>
            </w:pPr>
            <w:r>
              <w:rPr>
                <w:rFonts w:ascii="Times New Roman" w:cs="Times New Roman" w:hAnsi="Times New Roman"/>
                <w:color w:val="000000"/>
                <w:sz w:val="22"/>
                <w:szCs w:val="22"/>
              </w:rPr>
              <w:t>44</w:t>
            </w:r>
          </w:p>
        </w:tc>
        <w:tc>
          <w:tcPr>
            <w:tcW w:w="12193" w:type="dxa"/>
            <w:vAlign w:val="center"/>
          </w:tcPr>
          <w:p>
            <w:pPr>
              <w:jc w:val="left"/>
              <w:rPr>
                <w:rFonts w:ascii="宋体" w:cs="宋体"/>
                <w:sz w:val="22"/>
              </w:rPr>
            </w:pPr>
            <w:r>
              <w:rPr>
                <w:rFonts w:ascii="宋体" w:cs="宋体"/>
                <w:sz w:val="22"/>
              </w:rPr>
              <w:t>萨尔瓦多技术法规 -RTS- 11.02.02:26 药品.人用药物。药物警戒.第一次修订。本法规制定关于检测、量化、评估、分析、预防和监测药物不良反应、疑似疫苗接种及免疫接种相关事件、人用药物相关问题以及本法规适用范围内所详述产品的各项规定，以确保药物警戒活动的适当协调与有效执行。本法规适用于构成国家综合卫生系统的所有机构、公立和私营卫生服务提供者、制药行业、责任专业人员、卫生注册持有人、制药机构、卫生专业人员，以及所有在药物或药品（包括疫苗、暴露前或暴露后预防用药、营养补充剂、顺势疗法产品、天然药用产品）的研究、销售、处方或配发周期中涉及的公共或私营性质的自然人或法人，且不排除通过捐赠获得的产品。根据现行法规，基于其营养成分、特定用途、目标人群和商业化形式，被归类为特殊膳食食品的产品，不适用本法规。</w:t>
            </w:r>
          </w:p>
        </w:tc>
      </w:tr>
      <w:tr>
        <w:trPr>
          <w:trHeight w:val="1345"/>
        </w:trPr>
        <w:tc>
          <w:tcPr>
            <w:tcW w:w="1382" w:type="dxa"/>
            <w:vMerge w:val="restart"/>
            <w:tcBorders>
              <w:tl2br w:val="nil"/>
              <w:tr2bl w:val="nil"/>
            </w:tcBorders>
            <w:vAlign w:val="center"/>
          </w:tcPr>
          <w:p>
            <w:pPr>
              <w:pStyle w:val="328"/>
              <w:jc w:val="center"/>
              <w:textAlignment w:val="center"/>
            </w:pPr>
            <w:r>
              <w:t>泰国</w:t>
            </w:r>
          </w:p>
        </w:tc>
        <w:tc>
          <w:tcPr>
            <w:tcW w:w="596" w:type="dxa"/>
            <w:tcBorders>
              <w:top w:val="single" w:sz="4" w:space="0" w:color="000000"/>
              <w:left w:val="single" w:sz="4" w:space="0" w:color="000000"/>
              <w:right w:val="single" w:sz="4" w:space="0" w:color="000000"/>
            </w:tcBorders>
            <w:vAlign w:val="center"/>
          </w:tcPr>
          <w:p>
            <w:pPr>
              <w:pStyle w:val="130"/>
              <w:jc w:val="center"/>
              <w:rPr>
                <w:rFonts w:ascii="Times New Roman" w:cs="Times New Roman" w:hAnsi="Times New Roman"/>
                <w:color w:val="000000"/>
                <w:sz w:val="22"/>
                <w:szCs w:val="22"/>
              </w:rPr>
            </w:pPr>
            <w:r>
              <w:rPr>
                <w:rFonts w:ascii="Times New Roman" w:cs="Times New Roman" w:hAnsi="Times New Roman"/>
                <w:color w:val="000000"/>
                <w:sz w:val="22"/>
                <w:szCs w:val="22"/>
              </w:rPr>
              <w:t>45</w:t>
            </w:r>
          </w:p>
        </w:tc>
        <w:tc>
          <w:tcPr>
            <w:tcW w:w="12193" w:type="dxa"/>
            <w:vAlign w:val="center"/>
          </w:tcPr>
          <w:p>
            <w:pPr>
              <w:jc w:val="left"/>
              <w:rPr>
                <w:rFonts w:ascii="宋体" w:cs="宋体"/>
                <w:sz w:val="22"/>
              </w:rPr>
            </w:pPr>
            <w:r>
              <w:rPr>
                <w:rFonts w:ascii="宋体" w:cs="宋体"/>
                <w:sz w:val="22"/>
              </w:rPr>
              <w:t>公共卫生部通报草案，涉及：需要制造、进口或销售控制员的医疗器械，包括控制员的资格、人数和职责。通报草案提议修改公共卫生部关于需要制造、进口或销售控制员的医疗器械的通报，包括控制员的资格、人数和职责。2567（2024）。通报草案还规定了有关生产控制员的资格、人数和职责的要求，特别是针对牙医开出的定制牙科医疗器械或兽医开出的定制兽医牙科医疗器械。</w:t>
            </w:r>
          </w:p>
        </w:tc>
      </w:tr>
      <w:tr>
        <w:trPr>
          <w:trHeight w:val="94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1"/>
              <w:jc w:val="center"/>
              <w:rPr>
                <w:rFonts w:ascii="Times New Roman" w:cs="Times New Roman" w:hAnsi="Times New Roman"/>
                <w:color w:val="000000"/>
                <w:sz w:val="22"/>
                <w:szCs w:val="22"/>
              </w:rPr>
            </w:pPr>
            <w:r>
              <w:rPr>
                <w:rFonts w:ascii="Times New Roman" w:cs="Times New Roman" w:hAnsi="Times New Roman"/>
                <w:color w:val="000000"/>
                <w:sz w:val="22"/>
                <w:szCs w:val="22"/>
              </w:rPr>
              <w:t>46</w:t>
            </w:r>
          </w:p>
        </w:tc>
        <w:tc>
          <w:tcPr>
            <w:tcW w:w="12193" w:type="dxa"/>
            <w:vAlign w:val="center"/>
          </w:tcPr>
          <w:p>
            <w:pPr>
              <w:jc w:val="left"/>
              <w:rPr>
                <w:rFonts w:ascii="宋体" w:cs="宋体"/>
                <w:sz w:val="22"/>
              </w:rPr>
            </w:pPr>
            <w:r>
              <w:rPr>
                <w:rFonts w:ascii="宋体" w:cs="宋体"/>
                <w:sz w:val="22"/>
              </w:rPr>
              <w:t>标签委员会通报草案：确定太阳能电池板为标签管制产品。这份通报草案将太阳能电池板规定为标签管制产品。标签管制产品的标签应酌情指定文字、图片、人工设计或图像，不得导致对产品本质的误解，并应以泰语或附有泰语的外语清晰可辨地显示。这些受标签管制产品的标签不适用于为出口而制造而非在泰国销售的受标签管制产品的标签。</w:t>
            </w:r>
          </w:p>
        </w:tc>
      </w:tr>
      <w:tr>
        <w:trPr>
          <w:trHeight w:val="1260"/>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2"/>
              <w:jc w:val="center"/>
              <w:rPr>
                <w:rFonts w:ascii="Times New Roman" w:cs="Times New Roman" w:hAnsi="Times New Roman"/>
                <w:color w:val="000000"/>
                <w:sz w:val="22"/>
                <w:szCs w:val="22"/>
              </w:rPr>
            </w:pPr>
            <w:r>
              <w:rPr>
                <w:rFonts w:ascii="Times New Roman" w:cs="Times New Roman" w:hAnsi="Times New Roman"/>
                <w:color w:val="000000"/>
                <w:sz w:val="22"/>
                <w:szCs w:val="22"/>
              </w:rPr>
              <w:t>47</w:t>
            </w:r>
          </w:p>
        </w:tc>
        <w:tc>
          <w:tcPr>
            <w:tcW w:w="12193" w:type="dxa"/>
            <w:vAlign w:val="center"/>
          </w:tcPr>
          <w:p>
            <w:pPr>
              <w:jc w:val="left"/>
              <w:rPr>
                <w:rFonts w:ascii="宋体" w:cs="宋体"/>
                <w:sz w:val="22"/>
              </w:rPr>
            </w:pPr>
            <w:r>
              <w:rPr>
                <w:rFonts w:ascii="宋体" w:cs="宋体"/>
                <w:sz w:val="22"/>
              </w:rPr>
              <w:t>标签委员会通报草案：确定与太阳能电池板一起使用的逆变器为标签控制产品。该通报草案规定与太阳能电池板一起使用的逆变器是标签控制产品。标签管制产品的标签应酌情指定文字、图片、人工设计或图像，不得导致对产品本质的误解，并应以泰语或附有泰语的外语清晰可辨地显示。这些受标签管制产品的标签不适用于为出口而制造而非在泰国销售的受标签管制产品的标签。</w:t>
            </w:r>
          </w:p>
        </w:tc>
      </w:tr>
      <w:tr>
        <w:trPr>
          <w:trHeight w:val="84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4</w:t>
            </w:r>
            <w:r>
              <w:rPr>
                <w:rFonts w:ascii="Times New Roman" w:cs="Times New Roman" w:hAnsi="Times New Roman"/>
                <w:color w:val="000000"/>
                <w:sz w:val="22"/>
                <w:szCs w:val="22"/>
              </w:rPr>
              <w:t>8</w:t>
            </w:r>
          </w:p>
        </w:tc>
        <w:tc>
          <w:tcPr>
            <w:tcW w:w="12193" w:type="dxa"/>
            <w:vAlign w:val="center"/>
          </w:tcPr>
          <w:p>
            <w:pPr>
              <w:rPr>
                <w:rFonts w:ascii="宋体" w:cs="宋体" w:hint="eastAsia"/>
                <w:sz w:val="22"/>
              </w:rPr>
            </w:pPr>
            <w:r>
              <w:rPr>
                <w:rFonts w:ascii="宋体" w:cs="宋体"/>
                <w:sz w:val="22"/>
              </w:rPr>
              <w:t>确定太阳能电池板储能电池为标签控制产品通报草案。该通报草案将太阳能电池板储能电池规定为标签控制产品。标签管制产品的标签应酌情指定文字、图片、人工设计或图像，不得导致对产品本质的误解，并应以泰语或附有泰语的外语清晰可辨地显示。这些受标签管制产品的标签不适用于为出口而制造而非在泰国销售的受标签管制产品的标签。</w:t>
            </w:r>
          </w:p>
        </w:tc>
      </w:tr>
      <w:tr>
        <w:trPr>
          <w:trHeight w:val="1182"/>
        </w:trPr>
        <w:tc>
          <w:tcPr>
            <w:tcW w:w="1382" w:type="dxa"/>
            <w:tcBorders>
              <w:tl2br w:val="nil"/>
              <w:tr2bl w:val="nil"/>
            </w:tcBorders>
            <w:vAlign w:val="center"/>
          </w:tcPr>
          <w:p>
            <w:pPr>
              <w:pStyle w:val="305"/>
              <w:jc w:val="center"/>
              <w:textAlignment w:val="center"/>
            </w:pPr>
            <w:r>
              <w:t>以色列</w:t>
            </w:r>
          </w:p>
        </w:tc>
        <w:tc>
          <w:tcPr>
            <w:tcW w:w="596" w:type="dxa"/>
            <w:tcBorders>
              <w:top w:val="single" w:sz="4" w:space="0" w:color="000000"/>
              <w:left w:val="single" w:sz="4" w:space="0" w:color="000000"/>
              <w:right w:val="single" w:sz="4" w:space="0" w:color="000000"/>
            </w:tcBorders>
            <w:vAlign w:val="center"/>
          </w:tcPr>
          <w:p>
            <w:pPr>
              <w:pStyle w:val="134"/>
              <w:jc w:val="center"/>
              <w:rPr>
                <w:rFonts w:ascii="Times New Roman" w:cs="Times New Roman" w:hAnsi="Times New Roman"/>
                <w:color w:val="000000"/>
                <w:sz w:val="22"/>
                <w:szCs w:val="22"/>
              </w:rPr>
            </w:pPr>
            <w:r>
              <w:rPr>
                <w:rFonts w:ascii="Times New Roman" w:cs="Times New Roman" w:hAnsi="Times New Roman"/>
                <w:color w:val="000000"/>
                <w:sz w:val="22"/>
                <w:szCs w:val="22"/>
              </w:rPr>
              <w:t>49</w:t>
            </w:r>
          </w:p>
        </w:tc>
        <w:tc>
          <w:tcPr>
            <w:tcW w:w="12193" w:type="dxa"/>
            <w:vAlign w:val="center"/>
          </w:tcPr>
          <w:p>
            <w:pPr>
              <w:pStyle w:val="173"/>
              <w:rPr>
                <w:rFonts w:ascii="宋体" w:cs="宋体"/>
                <w:sz w:val="22"/>
              </w:rPr>
            </w:pPr>
            <w:r>
              <w:rPr>
                <w:rFonts w:ascii="宋体" w:cs="宋体"/>
                <w:sz w:val="22"/>
              </w:rPr>
              <w:t>公众健康保护（食品）（修订第二附件A）（第1169/2011号规例）（推迟对加工肉类和进口鱼类适用标签规定）。通过了欧洲议会和理事会2011年10月25日关于向消费者提供食品信息的第1169/2011号(EU)条例，作为5776-2015年公共健康保护（食品）第10修正案的以色列，并出现在附件2A第5项中。该法规自2025年1月1日起在以色列自愿适用，并将自2028年1月1日起适用于所有贸易商。第十修正案第62（2）节确立了一项临时条款，根据该条款，某些已采用的标签条款在2026年7月31日之前不适用于进口加工肉类和鱼类产品。这项临时规定旨在允许审查和调整适用于这些产品的独特标签安排，并确保逐步、有序地过渡到新规定的实施。在这项拟议的临时命令中，生效时间延长至2026年11月1日。</w:t>
            </w:r>
          </w:p>
        </w:tc>
      </w:tr>
      <w:tr>
        <w:trPr>
          <w:trHeight w:val="613"/>
        </w:trPr>
        <w:tc>
          <w:tcPr>
            <w:tcW w:w="1382" w:type="dxa"/>
            <w:vMerge w:val="restart"/>
            <w:tcBorders>
              <w:tl2br w:val="nil"/>
              <w:tr2bl w:val="nil"/>
            </w:tcBorders>
            <w:vAlign w:val="center"/>
          </w:tcPr>
          <w:p>
            <w:pPr>
              <w:pStyle w:val="273"/>
              <w:jc w:val="center"/>
              <w:textAlignment w:val="center"/>
            </w:pPr>
            <w:r>
              <w:t>土耳其</w:t>
            </w:r>
          </w:p>
        </w:tc>
        <w:tc>
          <w:tcPr>
            <w:tcW w:w="596" w:type="dxa"/>
            <w:tcBorders>
              <w:top w:val="single" w:sz="4" w:space="0" w:color="000000"/>
              <w:left w:val="single" w:sz="4" w:space="0" w:color="000000"/>
              <w:right w:val="single" w:sz="4" w:space="0" w:color="000000"/>
            </w:tcBorders>
            <w:vAlign w:val="center"/>
          </w:tcPr>
          <w:p>
            <w:pPr>
              <w:pStyle w:val="13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0</w:t>
            </w:r>
          </w:p>
        </w:tc>
        <w:tc>
          <w:tcPr>
            <w:tcW w:w="12193" w:type="dxa"/>
            <w:vAlign w:val="center"/>
          </w:tcPr>
          <w:p>
            <w:pPr>
              <w:pStyle w:val="174"/>
              <w:jc w:val="left"/>
              <w:rPr>
                <w:rFonts w:ascii="宋体" w:cs="宋体"/>
                <w:sz w:val="22"/>
              </w:rPr>
            </w:pPr>
            <w:r>
              <w:rPr>
                <w:rFonts w:ascii="宋体" w:cs="宋体"/>
                <w:sz w:val="22"/>
              </w:rPr>
              <w:t>为兽药产品签发带有安全电子签名和可验证二维码的药品证书。作为兽药产品的授权和负责机构，农业和林业部-畜牧总局为出口在土耳其生产或获得许可的兽药产品签发进口国所需的医药产品证书。为了确保这些证书的一致性，使证书格式与国际标准保持一致，并提高可靠性，以前作为带有湿签名和印章的打印文件签发的证书将仅在2026年10月1日之后以电子方式签发，并带有可验证和可靠的签名。</w:t>
            </w:r>
          </w:p>
        </w:tc>
      </w:tr>
      <w:tr>
        <w:trPr>
          <w:trHeight w:val="30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6"/>
              <w:jc w:val="center"/>
              <w:rPr>
                <w:rFonts w:ascii="宋体" w:cs="宋体"/>
                <w:sz w:val="22"/>
              </w:rPr>
            </w:pPr>
            <w:r>
              <w:rPr>
                <w:rFonts w:ascii="宋体" w:cs="宋体" w:hint="eastAsia"/>
                <w:sz w:val="22"/>
              </w:rPr>
              <w:t>5</w:t>
            </w:r>
            <w:r>
              <w:rPr>
                <w:rFonts w:ascii="宋体" w:cs="宋体"/>
                <w:sz w:val="22"/>
              </w:rPr>
              <w:t>1</w:t>
            </w:r>
          </w:p>
        </w:tc>
        <w:tc>
          <w:tcPr>
            <w:tcW w:w="12193" w:type="dxa"/>
            <w:vAlign w:val="center"/>
          </w:tcPr>
          <w:p>
            <w:pPr>
              <w:pStyle w:val="64"/>
              <w:jc w:val="left"/>
              <w:rPr>
                <w:rFonts w:ascii="宋体" w:cs="宋体"/>
                <w:sz w:val="22"/>
              </w:rPr>
            </w:pPr>
            <w:r>
              <w:rPr>
                <w:rFonts w:ascii="宋体" w:cs="宋体"/>
                <w:sz w:val="22"/>
              </w:rPr>
              <w:t>动物源性食品特定卫生规则条例。2011年4月19日通过G/SPS/N/TUR/12通报了动物源性食品特定卫生规则条例。由于对本法规草案的范围和内容进行了详细更改，因此于2024年9月23日通知了通报G/SPS/N/TUR/12/Rev.1。但通报的修订条例草案尚未公布。因此，特此撤回通报G/SPS/N/TUR/12/Rev.1。</w:t>
            </w:r>
          </w:p>
        </w:tc>
      </w:tr>
      <w:tr>
        <w:trPr>
          <w:trHeight w:val="925"/>
        </w:trPr>
        <w:tc>
          <w:tcPr>
            <w:tcW w:w="1382" w:type="dxa"/>
            <w:vMerge w:val="restart"/>
            <w:tcBorders>
              <w:tl2br w:val="nil"/>
              <w:tr2bl w:val="nil"/>
            </w:tcBorders>
            <w:vAlign w:val="center"/>
          </w:tcPr>
          <w:p>
            <w:pPr>
              <w:pStyle w:val="333"/>
              <w:jc w:val="center"/>
            </w:pPr>
            <w:r>
              <w:t>乌拉圭</w:t>
            </w:r>
          </w:p>
        </w:tc>
        <w:tc>
          <w:tcPr>
            <w:tcW w:w="596" w:type="dxa"/>
            <w:tcBorders>
              <w:top w:val="single" w:sz="4" w:space="0" w:color="000000"/>
              <w:left w:val="single" w:sz="4" w:space="0" w:color="000000"/>
              <w:right w:val="single" w:sz="4" w:space="0" w:color="000000"/>
            </w:tcBorders>
            <w:vAlign w:val="center"/>
          </w:tcPr>
          <w:p>
            <w:pPr>
              <w:pStyle w:val="137"/>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2</w:t>
            </w:r>
          </w:p>
        </w:tc>
        <w:tc>
          <w:tcPr>
            <w:tcW w:w="12193" w:type="dxa"/>
            <w:vAlign w:val="center"/>
          </w:tcPr>
          <w:p>
            <w:pPr>
              <w:jc w:val="left"/>
              <w:rPr>
                <w:rFonts w:ascii="宋体" w:cs="宋体"/>
                <w:sz w:val="22"/>
              </w:rPr>
            </w:pPr>
            <w:r>
              <w:rPr>
                <w:rFonts w:ascii="宋体" w:cs="宋体"/>
                <w:sz w:val="22"/>
              </w:rPr>
              <w:t>GMC第02/26号决议草案——MERCOSUR关于食品类别1.乳制品（子类别：乳制品甜点）的食品添加剂和加工助剂分配技术法规。提议批准《MERCOSUR关于食品类别1：乳制品（子类别：乳制品甜点）的食品添加剂和加工助剂分配技术法规》，该法规将适用于各缔约国领土、缔约国之间的贸易以及区域外进口。</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8"/>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3</w:t>
            </w:r>
          </w:p>
        </w:tc>
        <w:tc>
          <w:tcPr>
            <w:tcW w:w="12193" w:type="dxa"/>
            <w:vAlign w:val="center"/>
          </w:tcPr>
          <w:p>
            <w:pPr>
              <w:pStyle w:val="176"/>
              <w:jc w:val="left"/>
              <w:rPr>
                <w:rFonts w:ascii="宋体" w:cs="宋体"/>
                <w:sz w:val="22"/>
              </w:rPr>
            </w:pPr>
            <w:r>
              <w:rPr>
                <w:rFonts w:ascii="宋体" w:cs="宋体"/>
                <w:sz w:val="22"/>
              </w:rPr>
              <w:t>GMC第01/26号决议草案——修订关于食品添加剂的GMC第50/97、53/98、54/98、07/06、08/06、09/06和02/08号决议。其中包括了添加剂螺旋藻提取物，其技术功能为着色剂，在烘焙及糕点制品、甜点、糖果、酱汁和调味品、开胃小吃、油籽及干果等多个食品子类别中，最大使用限量为按需适量使用。调整了添加剂聚甘油蓖麻醇酸酯的最大使用限量，其技术功能为乳化剂，适用于乳化酱汁和蛋黄酱。还包括了添加剂硫酸钙，其技术功能为着色剂，在非酒精饮料中最大使用限量为按需适量使用。</w:t>
            </w:r>
          </w:p>
        </w:tc>
      </w:tr>
      <w:tr>
        <w:trPr>
          <w:trHeight w:val="543"/>
        </w:trPr>
        <w:tc>
          <w:tcPr>
            <w:tcW w:w="1382" w:type="dxa"/>
            <w:vMerge w:val="restart"/>
            <w:tcBorders>
              <w:tl2br w:val="nil"/>
              <w:tr2bl w:val="nil"/>
            </w:tcBorders>
            <w:vAlign w:val="center"/>
          </w:tcPr>
          <w:p>
            <w:pPr>
              <w:pStyle w:val="307"/>
              <w:jc w:val="center"/>
            </w:pPr>
            <w:r>
              <w:t>新西兰</w:t>
            </w:r>
          </w:p>
        </w:tc>
        <w:tc>
          <w:tcPr>
            <w:tcW w:w="596" w:type="dxa"/>
            <w:tcBorders>
              <w:top w:val="single" w:sz="4" w:space="0" w:color="000000"/>
              <w:left w:val="single" w:sz="4" w:space="0" w:color="000000"/>
              <w:right w:val="single" w:sz="4" w:space="0" w:color="000000"/>
            </w:tcBorders>
            <w:vAlign w:val="center"/>
          </w:tcPr>
          <w:p>
            <w:pPr>
              <w:pStyle w:val="139"/>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4</w:t>
            </w:r>
          </w:p>
        </w:tc>
        <w:tc>
          <w:tcPr>
            <w:tcW w:w="12193" w:type="dxa"/>
            <w:vAlign w:val="center"/>
          </w:tcPr>
          <w:p>
            <w:pPr>
              <w:jc w:val="left"/>
              <w:rPr>
                <w:rFonts w:ascii="宋体" w:cs="宋体"/>
                <w:sz w:val="22"/>
              </w:rPr>
            </w:pPr>
            <w:r>
              <w:rPr>
                <w:rFonts w:ascii="宋体" w:cs="宋体"/>
                <w:sz w:val="22"/>
              </w:rPr>
              <w:t xml:space="preserve">2026年海关进口禁令（一氧化二氮）令。该措施禁止在未获得卫生总干事许可的情况下进口一氧化二氮。若总干事确信该一氧化二氮拟用于合法目的，且进口商将采取合理措施避免其转用于非法用途，则可签发许可证。许可证对进口商免费发放。 </w:t>
            </w:r>
          </w:p>
        </w:tc>
      </w:tr>
      <w:tr>
        <w:trPr>
          <w:trHeight w:val="666"/>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0"/>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5</w:t>
            </w:r>
          </w:p>
        </w:tc>
        <w:tc>
          <w:tcPr>
            <w:tcW w:w="12193" w:type="dxa"/>
            <w:vAlign w:val="center"/>
          </w:tcPr>
          <w:p>
            <w:pPr>
              <w:pStyle w:val="247"/>
              <w:jc w:val="left"/>
              <w:rPr>
                <w:rFonts w:ascii="宋体" w:cs="宋体"/>
                <w:sz w:val="22"/>
              </w:rPr>
            </w:pPr>
            <w:r>
              <w:rPr>
                <w:rFonts w:ascii="宋体" w:cs="宋体"/>
                <w:sz w:val="22"/>
              </w:rPr>
              <w:t>《2025年有机产品与生产法规》和《2025年有机标准法规》。新西兰正就《2025年有机产品与生产法规》和《2025年有机标准法规》的拟议变更进行咨询。这些提案包括：变更针对非常小型有机经营者的类别豁免门槛，规定侵权违法行为及对轻微不合规行为的处罚，为提升清晰度和可操作性而进行的小型和技术性修订，以及关于国家有机标志的初步反馈。</w:t>
            </w:r>
          </w:p>
        </w:tc>
      </w:tr>
      <w:tr>
        <w:trPr>
          <w:trHeight w:val="631"/>
        </w:trPr>
        <w:tc>
          <w:tcPr>
            <w:tcW w:w="1382" w:type="dxa"/>
            <w:tcBorders>
              <w:tl2br w:val="nil"/>
              <w:tr2bl w:val="nil"/>
            </w:tcBorders>
            <w:vAlign w:val="center"/>
          </w:tcPr>
          <w:p>
            <w:pPr>
              <w:pStyle w:val="275"/>
              <w:jc w:val="center"/>
            </w:pPr>
            <w:r>
              <w:t>印度</w:t>
            </w:r>
          </w:p>
        </w:tc>
        <w:tc>
          <w:tcPr>
            <w:tcW w:w="596" w:type="dxa"/>
            <w:tcBorders>
              <w:top w:val="single" w:sz="4" w:space="0" w:color="000000"/>
              <w:left w:val="single" w:sz="4" w:space="0" w:color="000000"/>
              <w:right w:val="single" w:sz="4" w:space="0" w:color="000000"/>
            </w:tcBorders>
            <w:vAlign w:val="center"/>
          </w:tcPr>
          <w:p>
            <w:pPr>
              <w:pStyle w:val="141"/>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6</w:t>
            </w:r>
          </w:p>
        </w:tc>
        <w:tc>
          <w:tcPr>
            <w:tcW w:w="12193" w:type="dxa"/>
            <w:vAlign w:val="center"/>
          </w:tcPr>
          <w:p>
            <w:pPr>
              <w:jc w:val="left"/>
              <w:rPr>
                <w:rFonts w:ascii="宋体" w:cs="宋体" w:hint="eastAsia"/>
                <w:sz w:val="22"/>
              </w:rPr>
            </w:pPr>
            <w:r>
              <w:rPr>
                <w:rFonts w:ascii="宋体" w:cs="宋体"/>
                <w:sz w:val="22"/>
              </w:rPr>
              <w:t>2026年食品安全和标准（学童安全食品和均衡饮食）修正条例草案。2026年《食品安全与标准（学校儿童安全食品与均衡膳食）》修订条例草案，涉及在条例中纳入关于添加脂肪、添加糖或盐含量高的食品定义。</w:t>
            </w:r>
          </w:p>
        </w:tc>
      </w:tr>
      <w:tr>
        <w:trPr>
          <w:trHeight w:val="1237"/>
        </w:trPr>
        <w:tc>
          <w:tcPr>
            <w:tcW w:w="1382" w:type="dxa"/>
            <w:tcBorders>
              <w:tl2br w:val="nil"/>
              <w:tr2bl w:val="nil"/>
            </w:tcBorders>
            <w:vAlign w:val="center"/>
          </w:tcPr>
          <w:p>
            <w:pPr>
              <w:pStyle w:val="308"/>
              <w:jc w:val="center"/>
            </w:pPr>
            <w:r>
              <w:t>印度尼西亚</w:t>
            </w:r>
          </w:p>
        </w:tc>
        <w:tc>
          <w:tcPr>
            <w:tcW w:w="596" w:type="dxa"/>
            <w:tcBorders>
              <w:top w:val="single" w:sz="4" w:space="0" w:color="000000"/>
              <w:left w:val="single" w:sz="4" w:space="0" w:color="000000"/>
              <w:right w:val="single" w:sz="4" w:space="0" w:color="000000"/>
            </w:tcBorders>
            <w:vAlign w:val="center"/>
          </w:tcPr>
          <w:p>
            <w:pPr>
              <w:pStyle w:val="142"/>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7</w:t>
            </w:r>
          </w:p>
        </w:tc>
        <w:tc>
          <w:tcPr>
            <w:tcW w:w="12193" w:type="dxa"/>
            <w:vAlign w:val="center"/>
          </w:tcPr>
          <w:p>
            <w:pPr>
              <w:jc w:val="left"/>
              <w:rPr>
                <w:rFonts w:ascii="宋体" w:cs="宋体" w:hint="eastAsia"/>
                <w:sz w:val="22"/>
              </w:rPr>
            </w:pPr>
            <w:r>
              <w:rPr>
                <w:rFonts w:ascii="宋体" w:cs="宋体"/>
                <w:sz w:val="22"/>
              </w:rPr>
              <w:t xml:space="preserve">清真产品保证执行机构负责人关于天然药物、准药物和保健品清真产品保证制度实施指南的法令草案。本法规草案确立了天然药物、准药物和保健品实施清真产品保证制度的指南。该法规就清真产品保证制度的实施提供了指导，包括管理层承诺、清真主管的职责与权限、清真原辅料标准、生产过程、防止交叉污染、清洁（塔哈拉）程序、可追溯性、文件记录、内部审核、管理评审、纠正措施以及定期报告等内容。此外，法规还确立了贯穿生产全过程的清真管控措施，以确保产品持续符合伊斯兰教法规定的清真要求。 </w:t>
            </w:r>
          </w:p>
        </w:tc>
      </w:tr>
      <w:tr>
        <w:trPr>
          <w:trHeight w:val="691"/>
        </w:trPr>
        <w:tc>
          <w:tcPr>
            <w:tcW w:w="1382" w:type="dxa"/>
            <w:vMerge w:val="restart"/>
            <w:tcBorders>
              <w:tl2br w:val="nil"/>
              <w:tr2bl w:val="nil"/>
            </w:tcBorders>
            <w:vAlign w:val="center"/>
          </w:tcPr>
          <w:p>
            <w:pPr>
              <w:pStyle w:val="334"/>
              <w:jc w:val="center"/>
            </w:pPr>
            <w:r>
              <w:t>英国</w:t>
            </w:r>
          </w:p>
        </w:tc>
        <w:tc>
          <w:tcPr>
            <w:tcW w:w="596" w:type="dxa"/>
            <w:tcBorders>
              <w:top w:val="single" w:sz="4" w:space="0" w:color="000000"/>
              <w:left w:val="single" w:sz="4" w:space="0" w:color="000000"/>
              <w:right w:val="single" w:sz="4" w:space="0" w:color="000000"/>
            </w:tcBorders>
            <w:vAlign w:val="center"/>
          </w:tcPr>
          <w:p>
            <w:pPr>
              <w:pStyle w:val="14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8</w:t>
            </w:r>
          </w:p>
        </w:tc>
        <w:tc>
          <w:tcPr>
            <w:tcW w:w="12193" w:type="dxa"/>
            <w:vAlign w:val="center"/>
          </w:tcPr>
          <w:p>
            <w:pPr>
              <w:jc w:val="left"/>
              <w:rPr>
                <w:rFonts w:ascii="宋体" w:cs="宋体"/>
                <w:sz w:val="22"/>
              </w:rPr>
            </w:pPr>
            <w:r>
              <w:rPr>
                <w:rFonts w:ascii="宋体" w:cs="宋体"/>
                <w:sz w:val="22"/>
              </w:rPr>
              <w:t>关于撤销活性物质烯酰吗啉在GB的批准的决定。根据第1107/2009号同等法规，得出结论认为应撤销活性物质烯酰吗啉批准的决定文件。英国将撤销对含有烯酰吗啉的植物保护产品的授权。该决定仅涉及将该物质和含有该物质的植物保护产品投放市场。</w:t>
            </w:r>
          </w:p>
        </w:tc>
      </w:tr>
      <w:tr>
        <w:trPr>
          <w:trHeight w:val="55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4"/>
              <w:jc w:val="center"/>
              <w:rPr>
                <w:rFonts w:ascii="Times New Roman" w:cs="Times New Roman" w:hAnsi="Times New Roman"/>
                <w:color w:val="000000"/>
                <w:sz w:val="22"/>
                <w:szCs w:val="22"/>
              </w:rPr>
            </w:pPr>
            <w:r>
              <w:rPr>
                <w:rFonts w:ascii="Times New Roman" w:cs="Times New Roman" w:hAnsi="Times New Roman"/>
                <w:color w:val="000000"/>
                <w:sz w:val="22"/>
                <w:szCs w:val="22"/>
              </w:rPr>
              <w:t>59</w:t>
            </w:r>
          </w:p>
        </w:tc>
        <w:tc>
          <w:tcPr>
            <w:tcW w:w="12193" w:type="dxa"/>
            <w:vAlign w:val="center"/>
          </w:tcPr>
          <w:p>
            <w:pPr>
              <w:jc w:val="left"/>
              <w:rPr>
                <w:rFonts w:ascii="宋体" w:cs="宋体"/>
                <w:sz w:val="22"/>
              </w:rPr>
            </w:pPr>
            <w:r>
              <w:rPr>
                <w:rFonts w:ascii="宋体" w:cs="宋体"/>
                <w:sz w:val="22"/>
              </w:rPr>
              <w:t>英国拟对20种有害化学物质实施强制性分类和标签该提案旨在经审查后，通过对20种有害化学物质的强制性分类和标签引入新的条目及修订现有条目，来修改英国强制性分类和标签清单。</w:t>
            </w:r>
          </w:p>
        </w:tc>
      </w:tr>
      <w:tr>
        <w:trPr>
          <w:trHeight w:val="241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0</w:t>
            </w:r>
          </w:p>
        </w:tc>
        <w:tc>
          <w:tcPr>
            <w:tcW w:w="12193" w:type="dxa"/>
            <w:vAlign w:val="center"/>
          </w:tcPr>
          <w:p>
            <w:pPr>
              <w:rPr>
                <w:rFonts w:ascii="宋体" w:cs="宋体"/>
                <w:sz w:val="22"/>
              </w:rPr>
            </w:pPr>
            <w:r>
              <w:rPr>
                <w:rFonts w:ascii="宋体" w:cs="宋体"/>
                <w:sz w:val="22"/>
              </w:rPr>
              <w:t>修订了英国最大残留限量法定登记册中氟啶虫酰胺的新的英国最大残留限量。氟啶虫酰胺是英国批准的活性物质。健康与安全执行局收到了两份申请，要求对土豆中氟啶虫酰胺以及生菜和escaroles/阔叶菊苣中氟啶虫酰胺制定新的最大残留限量。经过评估，采用了新的最大残留限量，以适应英国植物保护产品新的和修订的授权：土豆从0.09mg/kg到0.2mg/kg，生菜从0.03*mg/kg到2mg/kg，菊苣/宽叶菊苣从0.03*mg/kg到0.6mg/kg。支持新最大残留限量的评估报告/合理意见可通过以下链接获得：对马铃薯中或其上氟尼卡胺的新最大残留限量的评估生菜和菊苣中或其上氟尼卡胺的新最大残留限量的评估。The evaluation of a new MRL for flonicamid in or on potatoesThe evaluation of new MRLs for flonicamid in or on lettuce and endives通知用途在食品中产生的残留限量导致消费者暴露低于毒理学参考值。由于残留限量超过现行有效的最大残留限量，因此采用了新的最大残留限量。</w:t>
            </w:r>
          </w:p>
        </w:tc>
      </w:tr>
      <w:tr>
        <w:trPr>
          <w:trHeight w:val="143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6"/>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1</w:t>
            </w:r>
          </w:p>
        </w:tc>
        <w:tc>
          <w:tcPr>
            <w:tcW w:w="12193" w:type="dxa"/>
            <w:vAlign w:val="center"/>
          </w:tcPr>
          <w:p>
            <w:pPr>
              <w:jc w:val="left"/>
              <w:rPr>
                <w:rFonts w:ascii="宋体" w:cs="宋体"/>
                <w:sz w:val="22"/>
              </w:rPr>
            </w:pPr>
            <w:r>
              <w:rPr>
                <w:rFonts w:ascii="宋体" w:cs="宋体"/>
                <w:sz w:val="22"/>
              </w:rPr>
              <w:t>修订英国最大残留限量法定登记册中亚磷酸钾的新的英国最大残留限量。亚磷酸钾是英国批准的活性物质。活性物质在食品/饲料中降解，产生膦酸残留，批准的活性物质三乙膦酸铝也是如此。活性物质三乙膦酸铝的最大残留限量涵盖了磷酸钾。健康与安全执行局收到了一份申请，要求为芦笋制定新的最大残留限量（MRL）。经过评估，引入了磷酰铝的新MRL，以适应英国对含有膦酸钾的植物保护产品的新授权。将芦笋中磷酰铝的MRL从2mg/kg提高到30mg/kg。由于残留水平超过现行有效的最大残留限量，因此采用了新的最大残留限量。没有芦笋上的亚磷酸钾的CXL，也没有芦笋上的三乙磷乙基铝的CXL。</w:t>
            </w:r>
          </w:p>
        </w:tc>
      </w:tr>
      <w:tr>
        <w:trPr>
          <w:trHeight w:val="603"/>
        </w:trPr>
        <w:tc>
          <w:tcPr>
            <w:tcW w:w="1382" w:type="dxa"/>
            <w:vMerge w:val="restart"/>
            <w:tcBorders>
              <w:tl2br w:val="nil"/>
              <w:tr2bl w:val="nil"/>
            </w:tcBorders>
            <w:vAlign w:val="center"/>
          </w:tcPr>
          <w:p>
            <w:pPr>
              <w:pStyle w:val="336"/>
              <w:jc w:val="center"/>
            </w:pPr>
            <w:r>
              <w:t>约旦</w:t>
            </w:r>
          </w:p>
        </w:tc>
        <w:tc>
          <w:tcPr>
            <w:tcW w:w="596" w:type="dxa"/>
            <w:tcBorders>
              <w:top w:val="single" w:sz="4" w:space="0" w:color="000000"/>
              <w:left w:val="single" w:sz="4" w:space="0" w:color="000000"/>
              <w:right w:val="single" w:sz="4" w:space="0" w:color="000000"/>
            </w:tcBorders>
            <w:vAlign w:val="center"/>
          </w:tcPr>
          <w:p>
            <w:pPr>
              <w:pStyle w:val="147"/>
              <w:jc w:val="center"/>
              <w:rPr>
                <w:rFonts w:ascii="Times New Roman" w:cs="Times New Roman" w:hAnsi="Times New Roman"/>
                <w:color w:val="000000"/>
                <w:sz w:val="22"/>
                <w:szCs w:val="22"/>
              </w:rPr>
            </w:pPr>
            <w:r>
              <w:rPr>
                <w:rFonts w:ascii="Times New Roman" w:cs="Times New Roman" w:hAnsi="Times New Roman"/>
                <w:color w:val="000000"/>
                <w:sz w:val="22"/>
                <w:szCs w:val="22"/>
              </w:rPr>
              <w:t>62</w:t>
            </w:r>
          </w:p>
        </w:tc>
        <w:tc>
          <w:tcPr>
            <w:tcW w:w="12193" w:type="dxa"/>
            <w:vAlign w:val="center"/>
          </w:tcPr>
          <w:p>
            <w:pPr>
              <w:pStyle w:val="185"/>
              <w:jc w:val="left"/>
              <w:rPr>
                <w:rFonts w:ascii="宋体" w:cs="宋体"/>
                <w:sz w:val="22"/>
              </w:rPr>
            </w:pPr>
            <w:r>
              <w:rPr>
                <w:rFonts w:ascii="宋体" w:cs="宋体"/>
                <w:sz w:val="22"/>
              </w:rPr>
              <w:t>DJS 2433/2026-谷物、豆类及其产品早餐谷物。该标准涉及早餐谷物应满足的要求，早餐谷物可以是全谷物、压碎、吹制或片状，不包括由玉米制成的片状（玉米片）。</w:t>
            </w:r>
          </w:p>
        </w:tc>
      </w:tr>
      <w:tr>
        <w:trPr>
          <w:trHeight w:val="15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8"/>
              <w:jc w:val="center"/>
              <w:rPr>
                <w:rFonts w:ascii="Times New Roman" w:cs="Times New Roman" w:hAnsi="Times New Roman"/>
                <w:color w:val="000000"/>
                <w:sz w:val="22"/>
                <w:szCs w:val="22"/>
              </w:rPr>
            </w:pPr>
            <w:r>
              <w:rPr>
                <w:rFonts w:ascii="Times New Roman" w:cs="Times New Roman" w:hAnsi="Times New Roman"/>
                <w:color w:val="000000"/>
                <w:sz w:val="22"/>
                <w:szCs w:val="22"/>
              </w:rPr>
              <w:t>63</w:t>
            </w:r>
          </w:p>
        </w:tc>
        <w:tc>
          <w:tcPr>
            <w:tcW w:w="12193" w:type="dxa"/>
            <w:vAlign w:val="center"/>
          </w:tcPr>
          <w:p>
            <w:pPr>
              <w:pStyle w:val="186"/>
              <w:jc w:val="left"/>
              <w:rPr>
                <w:rFonts w:ascii="宋体" w:cs="宋体"/>
                <w:sz w:val="22"/>
              </w:rPr>
            </w:pPr>
            <w:r>
              <w:rPr>
                <w:rFonts w:ascii="宋体" w:cs="宋体"/>
                <w:sz w:val="22"/>
              </w:rPr>
              <w:t>DJS 2122/2026-谷物、豆类和衍生产品冷冻面团。本标准涉及供人食用的冷冻面团（有馅和无馅）应满足的要求。</w:t>
            </w:r>
          </w:p>
        </w:tc>
      </w:tr>
      <w:tr>
        <w:trPr>
          <w:trHeight w:val="1301"/>
        </w:trPr>
        <w:tc>
          <w:tcPr>
            <w:tcW w:w="1382" w:type="dxa"/>
            <w:vMerge w:val="restart"/>
            <w:tcBorders>
              <w:tl2br w:val="nil"/>
              <w:tr2bl w:val="nil"/>
            </w:tcBorders>
            <w:vAlign w:val="center"/>
          </w:tcPr>
          <w:p>
            <w:pPr>
              <w:pStyle w:val="337"/>
              <w:jc w:val="center"/>
            </w:pPr>
            <w:r>
              <w:t>越南</w:t>
            </w:r>
          </w:p>
        </w:tc>
        <w:tc>
          <w:tcPr>
            <w:tcW w:w="596" w:type="dxa"/>
            <w:tcBorders>
              <w:top w:val="single" w:sz="4" w:space="0" w:color="000000"/>
              <w:left w:val="single" w:sz="4" w:space="0" w:color="000000"/>
              <w:right w:val="single" w:sz="4" w:space="0" w:color="000000"/>
            </w:tcBorders>
            <w:vAlign w:val="center"/>
          </w:tcPr>
          <w:p>
            <w:pPr>
              <w:pStyle w:val="149"/>
              <w:jc w:val="center"/>
              <w:rPr>
                <w:rFonts w:ascii="Times New Roman" w:cs="Times New Roman" w:hAnsi="Times New Roman"/>
                <w:color w:val="000000"/>
                <w:sz w:val="22"/>
                <w:szCs w:val="22"/>
              </w:rPr>
            </w:pPr>
            <w:r>
              <w:rPr>
                <w:rFonts w:ascii="Times New Roman" w:cs="Times New Roman" w:hAnsi="Times New Roman"/>
                <w:color w:val="000000"/>
                <w:sz w:val="22"/>
                <w:szCs w:val="22"/>
              </w:rPr>
              <w:t>64</w:t>
            </w:r>
          </w:p>
        </w:tc>
        <w:tc>
          <w:tcPr>
            <w:tcW w:w="12193" w:type="dxa"/>
            <w:vAlign w:val="center"/>
          </w:tcPr>
          <w:p>
            <w:pPr>
              <w:pStyle w:val="187"/>
              <w:jc w:val="left"/>
              <w:rPr>
                <w:rFonts w:ascii="宋体" w:cs="宋体"/>
                <w:sz w:val="22"/>
              </w:rPr>
            </w:pPr>
            <w:r>
              <w:rPr>
                <w:rFonts w:ascii="宋体" w:cs="宋体"/>
                <w:sz w:val="22"/>
              </w:rPr>
              <w:t>取代2010年《食品安全法》的《食品安全法》草案。监管范围本法规定了食品安全管理的原则和政策；食品安全信息系统；禁止的行为；组织和个人在保障食品安全方面的权利和责任；食品安全信息、教育和交流；适用于食品经营场所的条件；食品、街头食品、餐馆、集体餐饮设施和学校膳食服务的食品安全要求；进出口食品；食品广告和标签；食品检测、风险分析以及食品安全事件的预防、应对和补救；和国家食品安全管理。</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0"/>
              <w:jc w:val="center"/>
              <w:rPr>
                <w:rFonts w:ascii="Times New Roman" w:cs="Times New Roman" w:hAnsi="Times New Roman"/>
                <w:color w:val="000000"/>
                <w:sz w:val="22"/>
                <w:szCs w:val="22"/>
              </w:rPr>
            </w:pPr>
            <w:r>
              <w:rPr>
                <w:rFonts w:ascii="Times New Roman" w:cs="Times New Roman" w:hAnsi="Times New Roman"/>
                <w:color w:val="000000"/>
                <w:sz w:val="22"/>
                <w:szCs w:val="22"/>
              </w:rPr>
              <w:t>65</w:t>
            </w:r>
          </w:p>
        </w:tc>
        <w:tc>
          <w:tcPr>
            <w:tcW w:w="12193" w:type="dxa"/>
            <w:vAlign w:val="center"/>
          </w:tcPr>
          <w:p>
            <w:pPr>
              <w:pStyle w:val="188"/>
              <w:jc w:val="left"/>
              <w:rPr>
                <w:rFonts w:ascii="宋体" w:cs="宋体"/>
                <w:sz w:val="22"/>
              </w:rPr>
            </w:pPr>
            <w:r>
              <w:rPr>
                <w:rFonts w:ascii="宋体" w:cs="宋体"/>
                <w:sz w:val="22"/>
              </w:rPr>
              <w:t>关于四轮货运机动车安全和环境保护的国家技术法规草案。本法规草案规定了四轮货运机动车在生产、组装和进口环节中，对其技术安全质量和环境保护进行检验、测试和认证的技术要求。本法规草案适用于参与车辆技术安全质量和环境保护管理、检验、测试和认证工作的组织和个人。</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1"/>
              <w:jc w:val="center"/>
              <w:rPr>
                <w:rFonts w:ascii="Times New Roman" w:cs="Times New Roman" w:hAnsi="Times New Roman"/>
                <w:color w:val="000000"/>
                <w:sz w:val="22"/>
                <w:szCs w:val="22"/>
              </w:rPr>
            </w:pPr>
            <w:r>
              <w:rPr>
                <w:rFonts w:ascii="Times New Roman" w:cs="Times New Roman" w:hAnsi="Times New Roman"/>
                <w:color w:val="000000"/>
                <w:sz w:val="22"/>
                <w:szCs w:val="22"/>
              </w:rPr>
              <w:t>66</w:t>
            </w:r>
          </w:p>
        </w:tc>
        <w:tc>
          <w:tcPr>
            <w:tcW w:w="12193" w:type="dxa"/>
            <w:vAlign w:val="center"/>
          </w:tcPr>
          <w:p>
            <w:pPr>
              <w:pStyle w:val="190"/>
              <w:jc w:val="left"/>
              <w:rPr>
                <w:rFonts w:ascii="宋体" w:cs="宋体"/>
                <w:sz w:val="22"/>
              </w:rPr>
            </w:pPr>
            <w:r>
              <w:rPr>
                <w:rFonts w:ascii="宋体" w:cs="宋体"/>
                <w:sz w:val="22"/>
              </w:rPr>
              <w:t>关于低速车辆安全和环境保护的国家技术法规草案。本法规草案规定了用于载人的四轮机动车（低速车辆）在生产、组装和进口环节中，对其技术安全质量和环境保护进行检验、测试和认证的技术要求。本法规草案适用于参与车辆技术安全质量和环境保护管理、检验、测试和认证工作的组织和个人。</w:t>
            </w:r>
          </w:p>
        </w:tc>
      </w:tr>
      <w:tr>
        <w:trPr>
          <w:trHeight w:val="21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1"/>
              <w:jc w:val="center"/>
              <w:rPr>
                <w:rFonts w:ascii="Times New Roman" w:cs="Times New Roman" w:hAnsi="Times New Roman"/>
                <w:color w:val="000000"/>
                <w:sz w:val="22"/>
                <w:szCs w:val="22"/>
              </w:rPr>
            </w:pPr>
            <w:r>
              <w:rPr>
                <w:rFonts w:ascii="Times New Roman" w:cs="Times New Roman" w:hAnsi="Times New Roman"/>
                <w:color w:val="000000"/>
                <w:sz w:val="22"/>
                <w:szCs w:val="22"/>
              </w:rPr>
              <w:t>67</w:t>
            </w:r>
          </w:p>
        </w:tc>
        <w:tc>
          <w:tcPr>
            <w:tcW w:w="12193" w:type="dxa"/>
            <w:vAlign w:val="center"/>
          </w:tcPr>
          <w:p>
            <w:pPr>
              <w:pStyle w:val="190"/>
              <w:jc w:val="left"/>
              <w:rPr>
                <w:rFonts w:ascii="宋体" w:cs="宋体"/>
                <w:sz w:val="22"/>
              </w:rPr>
            </w:pPr>
            <w:r>
              <w:rPr>
                <w:rFonts w:ascii="宋体" w:cs="宋体"/>
                <w:sz w:val="22"/>
              </w:rPr>
              <w:t>取代2010年食品安全法的食品安全法草案。本法规定了食品安全管理的原则和政策；食品安全信息系统；禁止的行为；组织和个人在保障食品安全方面的权利和责任；食品安全信息、教育和交流；适用于食品经营场所的条件；食品、街头食品、餐馆、集体餐饮设施和学校膳食服务的食品安全要求；进出口食品；食品广告和标签；食品检测、风险分析以及食品安全事件的预防、应对和补救；和国家食品安全管理。</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1"/>
              <w:jc w:val="center"/>
              <w:rPr>
                <w:rFonts w:ascii="Times New Roman" w:cs="Times New Roman" w:hAnsi="Times New Roman"/>
                <w:color w:val="000000"/>
                <w:sz w:val="22"/>
                <w:szCs w:val="22"/>
              </w:rPr>
            </w:pPr>
            <w:r>
              <w:rPr>
                <w:rFonts w:ascii="Times New Roman" w:cs="Times New Roman" w:hAnsi="Times New Roman"/>
                <w:color w:val="000000"/>
                <w:sz w:val="22"/>
                <w:szCs w:val="22"/>
              </w:rPr>
              <w:t>68</w:t>
            </w:r>
          </w:p>
        </w:tc>
        <w:tc>
          <w:tcPr>
            <w:tcW w:w="12193" w:type="dxa"/>
            <w:vAlign w:val="center"/>
          </w:tcPr>
          <w:p>
            <w:pPr>
              <w:pStyle w:val="190"/>
              <w:jc w:val="left"/>
              <w:rPr>
                <w:rFonts w:ascii="宋体" w:cs="宋体"/>
                <w:sz w:val="22"/>
              </w:rPr>
            </w:pPr>
            <w:r>
              <w:rPr>
                <w:rFonts w:ascii="宋体" w:cs="宋体"/>
                <w:sz w:val="22"/>
              </w:rPr>
              <w:t>“畜牧业法案中关于动物饲料的若干条款的详细规定”的通知草案。本通告详细说明了以下内容：禁止在动物饲料中使用的化学品、生物制品、微生物名录；允许用作动物饲料的材料（包括含有前体的材料）清单；动物饲料测试；动物饲料标签；报告动物饲料生产情况；适用标准声明中要求声明的动物饲料质量指标。</w:t>
            </w:r>
          </w:p>
        </w:tc>
      </w:tr>
      <w:tr>
        <w:trPr>
          <w:trHeight w:val="1251"/>
        </w:trPr>
        <w:tc>
          <w:tcPr>
            <w:tcW w:w="1382" w:type="dxa"/>
            <w:vMerge w:val="restart"/>
            <w:tcBorders>
              <w:tl2br w:val="nil"/>
              <w:tr2bl w:val="nil"/>
            </w:tcBorders>
            <w:vAlign w:val="center"/>
          </w:tcPr>
          <w:p>
            <w:pPr>
              <w:pStyle w:val="338"/>
              <w:jc w:val="center"/>
            </w:pPr>
            <w:r>
              <w:t>智利</w:t>
            </w:r>
          </w:p>
        </w:tc>
        <w:tc>
          <w:tcPr>
            <w:tcW w:w="596" w:type="dxa"/>
            <w:tcBorders>
              <w:top w:val="single" w:sz="4" w:space="0" w:color="000000"/>
              <w:left w:val="single" w:sz="4" w:space="0" w:color="000000"/>
              <w:right w:val="single" w:sz="4" w:space="0" w:color="000000"/>
            </w:tcBorders>
            <w:vAlign w:val="center"/>
          </w:tcPr>
          <w:p>
            <w:pPr>
              <w:pStyle w:val="151"/>
              <w:jc w:val="center"/>
              <w:rPr>
                <w:rFonts w:ascii="Times New Roman" w:cs="Times New Roman" w:hAnsi="Times New Roman"/>
                <w:color w:val="000000"/>
                <w:sz w:val="22"/>
                <w:szCs w:val="22"/>
              </w:rPr>
            </w:pPr>
            <w:r>
              <w:rPr>
                <w:rFonts w:ascii="Times New Roman" w:cs="Times New Roman" w:hAnsi="Times New Roman"/>
                <w:color w:val="000000"/>
                <w:sz w:val="22"/>
                <w:szCs w:val="22"/>
              </w:rPr>
              <w:t>69</w:t>
            </w:r>
          </w:p>
        </w:tc>
        <w:tc>
          <w:tcPr>
            <w:tcW w:w="12193" w:type="dxa"/>
            <w:vAlign w:val="center"/>
          </w:tcPr>
          <w:p>
            <w:pPr>
              <w:pStyle w:val="190"/>
              <w:jc w:val="left"/>
              <w:rPr>
                <w:rFonts w:ascii="宋体" w:cs="宋体"/>
                <w:sz w:val="22"/>
              </w:rPr>
            </w:pPr>
            <w:r>
              <w:rPr>
                <w:rFonts w:ascii="宋体" w:cs="宋体"/>
                <w:sz w:val="22"/>
              </w:rPr>
              <w:t>G-BIOF03：胃肠道局部作用口服给药形式生物等效性证明指南。G-BIOF03号指南将作为第131号技术标准的新附件，该标准规定了在智利药品中确立治疗等效性的标准，并将提供适用于口服且在胃肠道局部作用的剂型进行治疗等效性证明的指南，弥补了传统血浆生物等效性研究不适用于该类产品时的监管需求。本指南的制定基于欧洲药品管理局和美国食品药品监督管理局的标准与建议，从而通过稳健的设计和严谨的方法扩充了可用于证明治疗等效性的手段，预计将有助于促进国际监管互认。</w:t>
            </w:r>
          </w:p>
        </w:tc>
      </w:tr>
      <w:tr>
        <w:trPr>
          <w:trHeight w:val="1596"/>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1"/>
              <w:jc w:val="center"/>
              <w:rPr>
                <w:rFonts w:ascii="Times New Roman" w:cs="Times New Roman" w:hAnsi="Times New Roman"/>
                <w:color w:val="000000"/>
                <w:sz w:val="22"/>
                <w:szCs w:val="22"/>
              </w:rPr>
            </w:pPr>
            <w:r>
              <w:rPr>
                <w:rFonts w:ascii="Times New Roman" w:cs="Times New Roman" w:hAnsi="Times New Roman"/>
                <w:color w:val="000000"/>
                <w:sz w:val="22"/>
                <w:szCs w:val="22"/>
              </w:rPr>
              <w:t>70</w:t>
            </w:r>
          </w:p>
        </w:tc>
        <w:tc>
          <w:tcPr>
            <w:tcW w:w="12193" w:type="dxa"/>
            <w:vAlign w:val="center"/>
          </w:tcPr>
          <w:p>
            <w:pPr>
              <w:pStyle w:val="190"/>
              <w:jc w:val="left"/>
              <w:rPr>
                <w:rFonts w:ascii="宋体" w:cs="宋体"/>
                <w:sz w:val="22"/>
              </w:rPr>
            </w:pPr>
            <w:r>
              <w:rPr>
                <w:rFonts w:ascii="宋体" w:cs="宋体"/>
                <w:sz w:val="22"/>
              </w:rPr>
              <w:t>G-BIOF指南04：皮肤或粘膜给药形式的生物等效性证明，包括局部、眼部、鼻部、耳部、透皮和吸入途径。G-BIOF04号指南将作为第131号技术标准的新附件，该标准规定了在智利药品中确立治疗等效性的标准，并将提供适用于经皮肤或粘膜给药剂型（包括外用、皮肤、耳用、眼用、鼻用、吸入和透皮途径）的生物等效性证明指南，弥补了单纯血液检测不足以评估该类产品时的监管需求。依据监管信任原则和世界卫生组织的建议，本监管项目旨在将公共卫生研究院在实践中积累的标准与欧洲药品管理局和美国食品药品监督管理局的指南相协调，在监管趋同方面具有里程碑意义。</w:t>
            </w:r>
          </w:p>
        </w:tc>
      </w:tr>
      <w:tr>
        <w:trPr>
          <w:trHeight w:val="1540"/>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1"/>
              <w:jc w:val="center"/>
              <w:rPr>
                <w:rFonts w:ascii="Times New Roman" w:cs="Times New Roman" w:hAnsi="Times New Roman"/>
                <w:color w:val="000000"/>
                <w:sz w:val="22"/>
                <w:szCs w:val="22"/>
              </w:rPr>
            </w:pPr>
            <w:r>
              <w:rPr>
                <w:rFonts w:ascii="Times New Roman" w:cs="Times New Roman" w:hAnsi="Times New Roman"/>
                <w:color w:val="000000"/>
                <w:sz w:val="22"/>
                <w:szCs w:val="22"/>
              </w:rPr>
              <w:t>71</w:t>
            </w:r>
          </w:p>
        </w:tc>
        <w:tc>
          <w:tcPr>
            <w:tcW w:w="12193" w:type="dxa"/>
            <w:vAlign w:val="center"/>
          </w:tcPr>
          <w:p>
            <w:pPr>
              <w:pStyle w:val="190"/>
              <w:jc w:val="left"/>
              <w:rPr>
                <w:rFonts w:ascii="宋体" w:cs="宋体"/>
                <w:sz w:val="22"/>
              </w:rPr>
            </w:pPr>
            <w:r>
              <w:rPr>
                <w:rFonts w:ascii="宋体" w:cs="宋体"/>
                <w:sz w:val="22"/>
              </w:rPr>
              <w:t>轻型机动车能效标准制定技术报告。本报告包含轻型车辆能效标准的技术修订，以满足评估欧6c排放标准生效和从NEDC认证周期过渡到WLTC认证周期的影响的需要。考虑到自2025年10月起，新车强制型式认证将通过WLTC程序进行，其测试条件最能代表车辆的实际使用情况，因此有必要对2022年第5号豁免决议制定的现行能效标准进行审查，以确保其对轻型车辆的能源性能保持充分、一致和有代表性的评估。同样，值得一提的是，能源效率标准自2024年起生效。发送的信息旨在向业界传达，由环境部制定并于2025年10月1日生效的排放标准的变更不会修改或影响当前有效的能源效率标准。</w:t>
            </w:r>
          </w:p>
        </w:tc>
      </w:tr>
    </w:tbl>
    <w:p>
      <w:pPr>
        <w:autoSpaceDN w:val="0"/>
        <w:adjustRightInd w:val="0"/>
        <w:snapToGrid w:val="0"/>
        <w:spacing w:line="560" w:lineRule="exact"/>
        <w:ind w:firstLineChars="265" w:firstLine="848"/>
        <w:rPr>
          <w:rFonts w:ascii="方正仿宋_GBK" w:eastAsia="方正仿宋_GBK" w:cs="Times New Roman"/>
          <w:sz w:val="32"/>
          <w:szCs w:val="32"/>
        </w:rPr>
      </w:pPr>
      <w:r>
        <w:rPr>
          <w:rStyle w:val="19Char"/>
          <w:rFonts w:ascii="方正仿宋_GBK" w:eastAsia="方正仿宋_GBK" w:cs="方正仿宋_GBK" w:hint="eastAsia"/>
          <w:kern w:val="0"/>
          <w:sz w:val="32"/>
          <w:szCs w:val="32"/>
        </w:rPr>
        <w:t>感谢关注武汉海关的技术性贸易措施工作！后期，我们将持续收集和更新</w:t>
      </w:r>
      <w:r>
        <w:rPr>
          <w:rFonts w:ascii="方正仿宋_GBK" w:eastAsia="方正仿宋_GBK" w:cs="方正仿宋_GBK" w:hint="eastAsia"/>
          <w:sz w:val="32"/>
          <w:szCs w:val="32"/>
        </w:rPr>
        <w:t>各国（地区）技术性贸易措施</w:t>
      </w:r>
      <w:r>
        <w:rPr>
          <w:rStyle w:val="19Char"/>
          <w:rFonts w:ascii="方正仿宋_GBK" w:eastAsia="方正仿宋_GBK" w:cs="方正仿宋_GBK" w:hint="eastAsia"/>
          <w:kern w:val="0"/>
          <w:sz w:val="32"/>
          <w:szCs w:val="32"/>
        </w:rPr>
        <w:t>，</w:t>
      </w:r>
      <w:r>
        <w:rPr>
          <w:rFonts w:ascii="方正仿宋_GBK" w:eastAsia="方正仿宋_GBK" w:cs="方正仿宋_GBK" w:hint="eastAsia"/>
          <w:sz w:val="32"/>
          <w:szCs w:val="32"/>
        </w:rPr>
        <w:t>根据需要及时向社会公布</w:t>
      </w:r>
      <w:r>
        <w:rPr>
          <w:rStyle w:val="19Char"/>
          <w:rFonts w:ascii="方正仿宋_GBK" w:eastAsia="方正仿宋_GBK" w:cs="方正仿宋_GBK" w:hint="eastAsia"/>
          <w:kern w:val="0"/>
          <w:sz w:val="32"/>
          <w:szCs w:val="32"/>
        </w:rPr>
        <w:t>，优化营商环境，</w:t>
      </w:r>
      <w:r>
        <w:rPr>
          <w:rFonts w:ascii="方正仿宋_GBK" w:eastAsia="方正仿宋_GBK" w:cs="方正仿宋_GBK" w:hint="eastAsia"/>
          <w:sz w:val="32"/>
          <w:szCs w:val="32"/>
        </w:rPr>
        <w:t>做好稳外贸稳外资工作，服务外贸企业，帮助企业有效应对，降低技术性贸易措施带来的影响和损失。</w:t>
      </w:r>
    </w:p>
    <w:p>
      <w:pPr>
        <w:pStyle w:val="20"/>
        <w:ind w:firstLineChars="200" w:firstLine="640"/>
        <w:jc w:val="center"/>
        <w:rPr>
          <w:rFonts w:ascii="方正仿宋_GBK" w:eastAsia="方正仿宋_GBK" w:cs="Times New Roman"/>
          <w:sz w:val="32"/>
          <w:szCs w:val="32"/>
        </w:rPr>
      </w:pPr>
      <w:r>
        <w:rPr>
          <w:rFonts w:ascii="方正仿宋_GBK" w:eastAsia="方正仿宋_GBK" w:cs="方正仿宋_GBK" w:hint="eastAsia"/>
          <w:sz w:val="32"/>
          <w:szCs w:val="32"/>
        </w:rPr>
        <w:t xml:space="preserve">                                                               武汉海关</w:t>
      </w:r>
    </w:p>
    <w:p>
      <w:pPr>
        <w:autoSpaceDN w:val="0"/>
        <w:ind w:right="480" w:firstLineChars="200" w:firstLine="640"/>
        <w:jc w:val="right"/>
        <w:rPr>
          <w:rFonts w:cs="Times New Roman"/>
        </w:rPr>
      </w:pPr>
      <w:r>
        <w:rPr>
          <w:rFonts w:ascii="Times New Roman" w:eastAsia="方正仿宋_GBK" w:cs="Times New Roman" w:hAnsi="Times New Roman"/>
          <w:sz w:val="32"/>
          <w:szCs w:val="32"/>
        </w:rPr>
        <w:t>2026</w:t>
      </w:r>
      <w:r>
        <w:rPr>
          <w:rFonts w:ascii="Times New Roman" w:eastAsia="方正仿宋_GBK" w:cs="方正仿宋_GBK" w:hAnsi="Times New Roman" w:hint="eastAsia"/>
          <w:sz w:val="32"/>
          <w:szCs w:val="32"/>
        </w:rPr>
        <w:t>年</w:t>
      </w:r>
      <w:r>
        <w:rPr>
          <w:rFonts w:ascii="Times New Roman" w:eastAsia="方正仿宋_GBK" w:cs="方正仿宋_GBK" w:hAnsi="Times New Roman"/>
          <w:sz w:val="32"/>
          <w:szCs w:val="32"/>
        </w:rPr>
        <w:t>9</w:t>
      </w:r>
      <w:r>
        <w:rPr>
          <w:rFonts w:ascii="Times New Roman" w:eastAsia="方正仿宋_GBK" w:cs="方正仿宋_GBK" w:hAnsi="Times New Roman" w:hint="eastAsia"/>
          <w:sz w:val="32"/>
          <w:szCs w:val="32"/>
        </w:rPr>
        <w:t>月</w:t>
      </w:r>
      <w:r>
        <w:rPr>
          <w:rFonts w:ascii="Times New Roman" w:eastAsia="方正仿宋_GBK" w:cs="Times New Roman" w:hAnsi="Times New Roman"/>
          <w:sz w:val="32"/>
          <w:szCs w:val="32"/>
        </w:rPr>
        <w:t>17</w:t>
      </w:r>
      <w:r>
        <w:rPr>
          <w:rFonts w:ascii="Times New Roman" w:eastAsia="方正仿宋_GBK" w:cs="方正仿宋_GBK" w:hAnsi="Times New Roman" w:hint="eastAsia"/>
          <w:sz w:val="32"/>
          <w:szCs w:val="32"/>
        </w:rPr>
        <w:t>日</w:t>
      </w:r>
    </w:p>
    <w:sectPr>
      <w:pgSz w:w="16838" w:h="11906" w:orient="landscape"/>
      <w:pgMar w:top="1800" w:right="1440" w:bottom="1800" w:left="144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仿宋">
    <w:altName w:val="方正仿宋_GBK"/>
    <w:panose1 w:val="00000000000000000000"/>
    <w:charset w:val="00"/>
    <w:family w:val="auto"/>
    <w:pitch w:val="variable"/>
    <w:sig w:usb0="00000000" w:usb1="00000000" w:usb2="00000000" w:usb3="00000000" w:csb0="00000000"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方正黑体_GBK"/>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oNotDisplayPageBoundaries/>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savePreviewPicture/>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Calibri" w:hAnsi="Calibri"/>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character" w:customStyle="1" w:styleId="17">
    <w:name w:val="NormalCharacter"/>
  </w:style>
  <w:style w:type="character" w:customStyle="1" w:styleId="18">
    <w:name w:val="im-content1"/>
    <w:basedOn w:val="10"/>
    <w:rPr>
      <w:color w:val="000000"/>
    </w:rPr>
  </w:style>
  <w:style w:type="paragraph" w:customStyle="1" w:styleId="19">
    <w:name w:val="样式"/>
    <w:link w:val="19Char"/>
    <w:rPr>
      <w:rFonts w:ascii="Times New Roman" w:eastAsia="宋体" w:cs="Times New Roman" w:hAnsi="Times New Roman"/>
      <w:sz w:val="20"/>
      <w:szCs w:val="20"/>
      <w:lang w:val="en-US" w:eastAsia="zh-CN" w:bidi="ar-SA"/>
    </w:rPr>
  </w:style>
  <w:style w:type="character" w:customStyle="1" w:styleId="19Char">
    <w:name w:val="样式 Char"/>
    <w:basedOn w:val="10"/>
    <w:link w:val="19"/>
    <w:rPr>
      <w:rFonts w:ascii="Times New Roman" w:eastAsia="宋体" w:cs="Times New Roman" w:hAnsi="Times New Roman"/>
      <w:sz w:val="20"/>
      <w:szCs w:val="20"/>
      <w:lang w:val="en-US" w:eastAsia="zh-CN" w:bidi="ar-SA"/>
    </w:rPr>
  </w:style>
  <w:style w:type="paragraph" w:customStyle="1" w:styleId="20">
    <w:name w:val="样式 1 10 磅"/>
    <w:pPr>
      <w:widowControl w:val="0"/>
      <w:jc w:val="both"/>
    </w:pPr>
    <w:rPr>
      <w:rFonts w:ascii="Calibri" w:eastAsia="宋体" w:cs="Calibri" w:hAnsi="Calibri"/>
      <w:kern w:val="2"/>
      <w:sz w:val="21"/>
      <w:szCs w:val="21"/>
      <w:lang w:val="en-US" w:eastAsia="zh-CN" w:bidi="ar-SA"/>
    </w:rPr>
  </w:style>
  <w:style w:type="character" w:customStyle="1" w:styleId="21">
    <w:name w:val="font21"/>
    <w:basedOn w:val="10"/>
    <w:rPr>
      <w:rFonts w:ascii="宋体" w:eastAsia="宋体" w:cs="宋体"/>
      <w:color w:val="000000"/>
      <w:sz w:val="18"/>
      <w:szCs w:val="18"/>
      <w:u w:val="none"/>
    </w:rPr>
  </w:style>
  <w:style w:type="character" w:customStyle="1" w:styleId="22">
    <w:name w:val="font31"/>
    <w:basedOn w:val="10"/>
    <w:rPr>
      <w:rFonts w:ascii="Calibri" w:cs="Calibri" w:hAnsi="Calibri"/>
      <w:color w:val="000000"/>
      <w:sz w:val="18"/>
      <w:szCs w:val="18"/>
      <w:u w:val="none"/>
    </w:rPr>
  </w:style>
  <w:style w:type="character" w:customStyle="1" w:styleId="23">
    <w:name w:val="font11"/>
    <w:basedOn w:val="10"/>
    <w:rPr>
      <w:rFonts w:ascii="Times New Roman" w:cs="Times New Roman" w:hAnsi="Times New Roman"/>
      <w:color w:val="000000"/>
      <w:sz w:val="24"/>
      <w:szCs w:val="24"/>
      <w:u w:val="none"/>
    </w:rPr>
  </w:style>
  <w:style w:type="character" w:customStyle="1" w:styleId="24">
    <w:name w:val="font51"/>
    <w:basedOn w:val="10"/>
    <w:rPr>
      <w:rFonts w:ascii="方正仿宋_GBK" w:eastAsia="方正仿宋_GBK" w:cs="方正仿宋_GBK"/>
      <w:color w:val="000000"/>
      <w:sz w:val="24"/>
      <w:szCs w:val="24"/>
      <w:u w:val="none"/>
    </w:rPr>
  </w:style>
  <w:style w:type="character" w:customStyle="1" w:styleId="25">
    <w:name w:val="font41"/>
    <w:basedOn w:val="10"/>
    <w:rPr>
      <w:rFonts w:ascii="方正仿宋_GBK" w:eastAsia="方正仿宋_GBK" w:cs="方正仿宋_GBK"/>
      <w:color w:val="000000"/>
      <w:sz w:val="24"/>
      <w:szCs w:val="24"/>
      <w:u w:val="none"/>
    </w:rPr>
  </w:style>
  <w:style w:type="character" w:customStyle="1" w:styleId="26">
    <w:name w:val="font61"/>
    <w:basedOn w:val="10"/>
    <w:rPr>
      <w:rFonts w:ascii="方正仿宋_GBK" w:eastAsia="方正仿宋_GBK" w:cs="方正仿宋_GBK"/>
      <w:color w:val="4D4D4D"/>
      <w:sz w:val="24"/>
      <w:szCs w:val="24"/>
      <w:u w:val="none"/>
    </w:rPr>
  </w:style>
  <w:style w:type="character" w:customStyle="1" w:styleId="27">
    <w:name w:val="font01"/>
    <w:basedOn w:val="10"/>
    <w:rPr>
      <w:rFonts w:ascii="宋体" w:eastAsia="宋体" w:cs="宋体"/>
      <w:color w:val="000000"/>
      <w:sz w:val="22"/>
      <w:szCs w:val="22"/>
      <w:u w:val="none"/>
    </w:rPr>
  </w:style>
  <w:style w:type="character" w:customStyle="1" w:styleId="28">
    <w:name w:val="font71"/>
    <w:basedOn w:val="10"/>
    <w:rPr>
      <w:rFonts w:ascii="Times New Roman" w:cs="Times New Roman" w:hAnsi="Times New Roman"/>
      <w:color w:val="auto"/>
      <w:sz w:val="32"/>
      <w:szCs w:val="32"/>
      <w:u w:val="none"/>
    </w:rPr>
  </w:style>
  <w:style w:type="character" w:customStyle="1" w:styleId="29">
    <w:name w:val="font81"/>
    <w:basedOn w:val="10"/>
    <w:rPr>
      <w:rFonts w:ascii="Times New Roman" w:cs="Times New Roman" w:hAnsi="Times New Roman"/>
      <w:color w:val="000000"/>
      <w:sz w:val="32"/>
      <w:szCs w:val="32"/>
      <w:u w:val="none"/>
    </w:rPr>
  </w:style>
  <w:style w:type="paragraph" w:customStyle="1" w:styleId="30">
    <w:name w:val="样式 10 磅"/>
    <w:pPr>
      <w:widowControl w:val="0"/>
      <w:jc w:val="both"/>
    </w:pPr>
    <w:rPr>
      <w:rFonts w:ascii="Calibri" w:eastAsia="宋体" w:cs="Calibri" w:hAnsi="Calibri"/>
      <w:kern w:val="2"/>
      <w:sz w:val="21"/>
      <w:szCs w:val="21"/>
      <w:lang w:val="en-US" w:eastAsia="zh-CN" w:bidi="ar-SA"/>
    </w:rPr>
  </w:style>
  <w:style w:type="paragraph" w:customStyle="1" w:styleId="31">
    <w:name w:val="样式 2 10 磅"/>
    <w:pPr>
      <w:widowControl w:val="0"/>
      <w:jc w:val="both"/>
    </w:pPr>
    <w:rPr>
      <w:rFonts w:ascii="Calibri" w:eastAsia="宋体" w:cs="Calibri" w:hAnsi="Calibri"/>
      <w:kern w:val="2"/>
      <w:sz w:val="21"/>
      <w:szCs w:val="21"/>
      <w:lang w:val="en-US" w:eastAsia="zh-CN" w:bidi="ar-SA"/>
    </w:rPr>
  </w:style>
  <w:style w:type="character" w:styleId="32">
    <w:name w:val="Hyperlink"/>
    <w:basedOn w:val="10"/>
    <w:rPr>
      <w:color w:val="0000FF"/>
      <w:u w:val="single"/>
    </w:rPr>
  </w:style>
  <w:style w:type="paragraph" w:customStyle="1" w:styleId="33">
    <w:name w:val="样式 3 10 磅"/>
    <w:pPr>
      <w:widowControl w:val="0"/>
      <w:jc w:val="both"/>
    </w:pPr>
    <w:rPr>
      <w:rFonts w:ascii="Calibri" w:eastAsia="宋体" w:cs="Calibri" w:hAnsi="Calibri"/>
      <w:kern w:val="2"/>
      <w:sz w:val="21"/>
      <w:szCs w:val="21"/>
      <w:lang w:val="en-US" w:eastAsia="zh-CN" w:bidi="ar-SA"/>
    </w:rPr>
  </w:style>
  <w:style w:type="paragraph" w:customStyle="1" w:styleId="34">
    <w:name w:val="样式 4 10 磅"/>
    <w:pPr>
      <w:widowControl w:val="0"/>
      <w:jc w:val="both"/>
    </w:pPr>
    <w:rPr>
      <w:rFonts w:ascii="Calibri" w:eastAsia="宋体" w:cs="Calibri" w:hAnsi="Calibri"/>
      <w:kern w:val="2"/>
      <w:sz w:val="21"/>
      <w:szCs w:val="21"/>
      <w:lang w:val="en-US" w:eastAsia="zh-CN" w:bidi="ar-SA"/>
    </w:rPr>
  </w:style>
  <w:style w:type="paragraph" w:customStyle="1" w:styleId="35">
    <w:name w:val="样式 5 10 磅"/>
    <w:pPr>
      <w:widowControl w:val="0"/>
      <w:jc w:val="both"/>
    </w:pPr>
    <w:rPr>
      <w:rFonts w:ascii="Calibri" w:eastAsia="宋体" w:cs="Calibri" w:hAnsi="Calibri"/>
      <w:kern w:val="2"/>
      <w:sz w:val="21"/>
      <w:szCs w:val="21"/>
      <w:lang w:val="en-US" w:eastAsia="zh-CN" w:bidi="ar-SA"/>
    </w:rPr>
  </w:style>
  <w:style w:type="paragraph" w:customStyle="1" w:styleId="36">
    <w:name w:val="样式 6 10 磅"/>
    <w:pPr>
      <w:widowControl w:val="0"/>
      <w:jc w:val="both"/>
    </w:pPr>
    <w:rPr>
      <w:rFonts w:ascii="Calibri" w:eastAsia="宋体" w:cs="Calibri" w:hAnsi="Calibri"/>
      <w:kern w:val="2"/>
      <w:sz w:val="21"/>
      <w:szCs w:val="21"/>
      <w:lang w:val="en-US" w:eastAsia="zh-CN" w:bidi="ar-SA"/>
    </w:rPr>
  </w:style>
  <w:style w:type="paragraph" w:customStyle="1" w:styleId="37">
    <w:name w:val="样式 7 10 磅"/>
    <w:pPr>
      <w:widowControl w:val="0"/>
      <w:jc w:val="both"/>
    </w:pPr>
    <w:rPr>
      <w:rFonts w:ascii="Calibri" w:eastAsia="宋体" w:cs="Calibri" w:hAnsi="Calibri"/>
      <w:kern w:val="2"/>
      <w:sz w:val="21"/>
      <w:szCs w:val="21"/>
      <w:lang w:val="en-US" w:eastAsia="zh-CN" w:bidi="ar-SA"/>
    </w:rPr>
  </w:style>
  <w:style w:type="paragraph" w:customStyle="1" w:styleId="38">
    <w:name w:val="样式 8 10 磅"/>
    <w:pPr>
      <w:widowControl w:val="0"/>
      <w:jc w:val="both"/>
    </w:pPr>
    <w:rPr>
      <w:rFonts w:ascii="Calibri" w:eastAsia="宋体" w:cs="Calibri" w:hAnsi="Calibri"/>
      <w:kern w:val="2"/>
      <w:sz w:val="21"/>
      <w:szCs w:val="21"/>
      <w:lang w:val="en-US" w:eastAsia="zh-CN" w:bidi="ar-SA"/>
    </w:rPr>
  </w:style>
  <w:style w:type="paragraph" w:customStyle="1" w:styleId="39">
    <w:name w:val="样式 9 10 磅"/>
    <w:pPr>
      <w:widowControl w:val="0"/>
      <w:jc w:val="both"/>
    </w:pPr>
    <w:rPr>
      <w:rFonts w:ascii="Calibri" w:eastAsia="宋体" w:cs="Calibri" w:hAnsi="Calibri"/>
      <w:kern w:val="2"/>
      <w:sz w:val="21"/>
      <w:szCs w:val="21"/>
      <w:lang w:val="en-US" w:eastAsia="zh-CN" w:bidi="ar-SA"/>
    </w:rPr>
  </w:style>
  <w:style w:type="paragraph" w:customStyle="1" w:styleId="40">
    <w:name w:val="样式 10 10 磅"/>
    <w:pPr>
      <w:widowControl w:val="0"/>
      <w:jc w:val="both"/>
    </w:pPr>
    <w:rPr>
      <w:rFonts w:ascii="Calibri" w:eastAsia="宋体" w:cs="Calibri" w:hAnsi="Calibri"/>
      <w:kern w:val="2"/>
      <w:sz w:val="21"/>
      <w:szCs w:val="21"/>
      <w:lang w:val="en-US" w:eastAsia="zh-CN" w:bidi="ar-SA"/>
    </w:rPr>
  </w:style>
  <w:style w:type="paragraph" w:customStyle="1" w:styleId="41">
    <w:name w:val="样式 11 10 磅"/>
    <w:pPr>
      <w:widowControl w:val="0"/>
      <w:jc w:val="both"/>
    </w:pPr>
    <w:rPr>
      <w:rFonts w:ascii="Calibri" w:eastAsia="宋体" w:cs="Calibri" w:hAnsi="Calibri"/>
      <w:kern w:val="2"/>
      <w:sz w:val="21"/>
      <w:szCs w:val="21"/>
      <w:lang w:val="en-US" w:eastAsia="zh-CN" w:bidi="ar-SA"/>
    </w:rPr>
  </w:style>
  <w:style w:type="paragraph" w:customStyle="1" w:styleId="42">
    <w:name w:val="样式 12 10 磅"/>
    <w:pPr>
      <w:widowControl w:val="0"/>
      <w:jc w:val="both"/>
    </w:pPr>
    <w:rPr>
      <w:rFonts w:ascii="Calibri" w:eastAsia="宋体" w:cs="Calibri" w:hAnsi="Calibri"/>
      <w:kern w:val="2"/>
      <w:sz w:val="21"/>
      <w:szCs w:val="21"/>
      <w:lang w:val="en-US" w:eastAsia="zh-CN" w:bidi="ar-SA"/>
    </w:rPr>
  </w:style>
  <w:style w:type="paragraph" w:customStyle="1" w:styleId="43">
    <w:name w:val="样式 13 10 磅"/>
    <w:pPr>
      <w:widowControl w:val="0"/>
      <w:jc w:val="both"/>
    </w:pPr>
    <w:rPr>
      <w:rFonts w:ascii="Calibri" w:eastAsia="宋体" w:cs="Calibri" w:hAnsi="Calibri"/>
      <w:kern w:val="2"/>
      <w:sz w:val="21"/>
      <w:szCs w:val="21"/>
      <w:lang w:val="en-US" w:eastAsia="zh-CN" w:bidi="ar-SA"/>
    </w:rPr>
  </w:style>
  <w:style w:type="paragraph" w:customStyle="1" w:styleId="44">
    <w:name w:val="样式 14 10 磅"/>
    <w:pPr>
      <w:widowControl w:val="0"/>
      <w:jc w:val="both"/>
    </w:pPr>
    <w:rPr>
      <w:rFonts w:ascii="Calibri" w:eastAsia="宋体" w:cs="Calibri" w:hAnsi="Calibri"/>
      <w:kern w:val="2"/>
      <w:sz w:val="21"/>
      <w:szCs w:val="21"/>
      <w:lang w:val="en-US" w:eastAsia="zh-CN" w:bidi="ar-SA"/>
    </w:rPr>
  </w:style>
  <w:style w:type="paragraph" w:customStyle="1" w:styleId="45">
    <w:name w:val="样式 15 10 磅"/>
    <w:pPr>
      <w:widowControl w:val="0"/>
      <w:jc w:val="both"/>
    </w:pPr>
    <w:rPr>
      <w:rFonts w:ascii="Calibri" w:eastAsia="宋体" w:cs="Calibri" w:hAnsi="Calibri"/>
      <w:kern w:val="2"/>
      <w:sz w:val="21"/>
      <w:szCs w:val="21"/>
      <w:lang w:val="en-US" w:eastAsia="zh-CN" w:bidi="ar-SA"/>
    </w:rPr>
  </w:style>
  <w:style w:type="paragraph" w:customStyle="1" w:styleId="46">
    <w:name w:val="样式 16 10 磅"/>
    <w:pPr>
      <w:widowControl w:val="0"/>
      <w:jc w:val="both"/>
    </w:pPr>
    <w:rPr>
      <w:rFonts w:ascii="Calibri" w:eastAsia="宋体" w:cs="Calibri" w:hAnsi="Calibri"/>
      <w:kern w:val="2"/>
      <w:sz w:val="21"/>
      <w:szCs w:val="21"/>
      <w:lang w:val="en-US" w:eastAsia="zh-CN" w:bidi="ar-SA"/>
    </w:rPr>
  </w:style>
  <w:style w:type="paragraph" w:customStyle="1" w:styleId="47">
    <w:name w:val="样式 17 10 磅"/>
    <w:pPr>
      <w:widowControl w:val="0"/>
      <w:jc w:val="both"/>
    </w:pPr>
    <w:rPr>
      <w:rFonts w:ascii="Calibri" w:eastAsia="宋体" w:cs="Calibri" w:hAnsi="Calibri"/>
      <w:kern w:val="2"/>
      <w:sz w:val="21"/>
      <w:szCs w:val="21"/>
      <w:lang w:val="en-US" w:eastAsia="zh-CN" w:bidi="ar-SA"/>
    </w:rPr>
  </w:style>
  <w:style w:type="paragraph" w:customStyle="1" w:styleId="48">
    <w:name w:val="样式 18 10 磅"/>
    <w:pPr>
      <w:widowControl w:val="0"/>
      <w:jc w:val="both"/>
    </w:pPr>
    <w:rPr>
      <w:rFonts w:ascii="Calibri" w:eastAsia="宋体" w:cs="Calibri" w:hAnsi="Calibri"/>
      <w:kern w:val="2"/>
      <w:sz w:val="21"/>
      <w:szCs w:val="21"/>
      <w:lang w:val="en-US" w:eastAsia="zh-CN" w:bidi="ar-SA"/>
    </w:rPr>
  </w:style>
  <w:style w:type="paragraph" w:customStyle="1" w:styleId="49">
    <w:name w:val="样式 19 10 磅"/>
    <w:pPr>
      <w:widowControl w:val="0"/>
      <w:jc w:val="both"/>
    </w:pPr>
    <w:rPr>
      <w:rFonts w:ascii="Calibri" w:eastAsia="宋体" w:cs="Calibri" w:hAnsi="Calibri"/>
      <w:kern w:val="2"/>
      <w:sz w:val="21"/>
      <w:szCs w:val="21"/>
      <w:lang w:val="en-US" w:eastAsia="zh-CN" w:bidi="ar-SA"/>
    </w:rPr>
  </w:style>
  <w:style w:type="paragraph" w:customStyle="1" w:styleId="50">
    <w:name w:val="样式 20 10 磅"/>
    <w:pPr>
      <w:widowControl w:val="0"/>
      <w:jc w:val="both"/>
    </w:pPr>
    <w:rPr>
      <w:rFonts w:ascii="Calibri" w:eastAsia="宋体" w:cs="Calibri" w:hAnsi="Calibri"/>
      <w:kern w:val="2"/>
      <w:sz w:val="21"/>
      <w:szCs w:val="21"/>
      <w:lang w:val="en-US" w:eastAsia="zh-CN" w:bidi="ar-SA"/>
    </w:rPr>
  </w:style>
  <w:style w:type="paragraph" w:customStyle="1" w:styleId="51">
    <w:name w:val="样式 21 10 磅"/>
    <w:pPr>
      <w:widowControl w:val="0"/>
      <w:jc w:val="both"/>
    </w:pPr>
    <w:rPr>
      <w:rFonts w:ascii="Calibri" w:eastAsia="宋体" w:cs="Calibri" w:hAnsi="Calibri"/>
      <w:kern w:val="2"/>
      <w:sz w:val="21"/>
      <w:szCs w:val="21"/>
      <w:lang w:val="en-US" w:eastAsia="zh-CN" w:bidi="ar-SA"/>
    </w:rPr>
  </w:style>
  <w:style w:type="paragraph" w:customStyle="1" w:styleId="52">
    <w:name w:val="样式 22 10 磅"/>
    <w:pPr>
      <w:widowControl w:val="0"/>
      <w:jc w:val="both"/>
    </w:pPr>
    <w:rPr>
      <w:rFonts w:ascii="Calibri" w:eastAsia="宋体" w:cs="Calibri" w:hAnsi="Calibri"/>
      <w:kern w:val="2"/>
      <w:sz w:val="21"/>
      <w:szCs w:val="21"/>
      <w:lang w:val="en-US" w:eastAsia="zh-CN" w:bidi="ar-SA"/>
    </w:rPr>
  </w:style>
  <w:style w:type="paragraph" w:customStyle="1" w:styleId="53">
    <w:name w:val="样式 23 10 磅"/>
    <w:pPr>
      <w:widowControl w:val="0"/>
      <w:jc w:val="both"/>
    </w:pPr>
    <w:rPr>
      <w:rFonts w:ascii="Calibri" w:eastAsia="宋体" w:cs="Calibri" w:hAnsi="Calibri"/>
      <w:kern w:val="2"/>
      <w:sz w:val="21"/>
      <w:szCs w:val="21"/>
      <w:lang w:val="en-US" w:eastAsia="zh-CN" w:bidi="ar-SA"/>
    </w:rPr>
  </w:style>
  <w:style w:type="paragraph" w:customStyle="1" w:styleId="54">
    <w:name w:val="样式 24 10 磅"/>
    <w:pPr>
      <w:widowControl w:val="0"/>
      <w:jc w:val="both"/>
    </w:pPr>
    <w:rPr>
      <w:rFonts w:ascii="Calibri" w:eastAsia="宋体" w:cs="Calibri" w:hAnsi="Calibri"/>
      <w:kern w:val="2"/>
      <w:sz w:val="21"/>
      <w:szCs w:val="21"/>
      <w:lang w:val="en-US" w:eastAsia="zh-CN" w:bidi="ar-SA"/>
    </w:rPr>
  </w:style>
  <w:style w:type="paragraph" w:customStyle="1" w:styleId="55">
    <w:name w:val="样式 25 10 磅"/>
    <w:pPr>
      <w:widowControl w:val="0"/>
      <w:jc w:val="both"/>
    </w:pPr>
    <w:rPr>
      <w:rFonts w:ascii="Calibri" w:eastAsia="宋体" w:cs="Calibri" w:hAnsi="Calibri"/>
      <w:kern w:val="2"/>
      <w:sz w:val="21"/>
      <w:szCs w:val="21"/>
      <w:lang w:val="en-US" w:eastAsia="zh-CN" w:bidi="ar-SA"/>
    </w:rPr>
  </w:style>
  <w:style w:type="paragraph" w:customStyle="1" w:styleId="56">
    <w:name w:val="样式 26 10 磅"/>
    <w:pPr>
      <w:widowControl w:val="0"/>
      <w:jc w:val="both"/>
    </w:pPr>
    <w:rPr>
      <w:rFonts w:ascii="Calibri" w:eastAsia="宋体" w:cs="Calibri" w:hAnsi="Calibri"/>
      <w:kern w:val="2"/>
      <w:sz w:val="21"/>
      <w:szCs w:val="21"/>
      <w:lang w:val="en-US" w:eastAsia="zh-CN" w:bidi="ar-SA"/>
    </w:rPr>
  </w:style>
  <w:style w:type="paragraph" w:customStyle="1" w:styleId="57">
    <w:name w:val="样式 27 10 磅"/>
    <w:pPr>
      <w:widowControl w:val="0"/>
      <w:jc w:val="both"/>
    </w:pPr>
    <w:rPr>
      <w:rFonts w:ascii="Calibri" w:eastAsia="宋体" w:cs="Calibri" w:hAnsi="Calibri"/>
      <w:kern w:val="2"/>
      <w:sz w:val="21"/>
      <w:szCs w:val="21"/>
      <w:lang w:val="en-US" w:eastAsia="zh-CN" w:bidi="ar-SA"/>
    </w:rPr>
  </w:style>
  <w:style w:type="paragraph" w:customStyle="1" w:styleId="58">
    <w:name w:val="样式 28 10 磅"/>
    <w:pPr>
      <w:widowControl w:val="0"/>
      <w:jc w:val="both"/>
    </w:pPr>
    <w:rPr>
      <w:rFonts w:ascii="Calibri" w:eastAsia="宋体" w:cs="Calibri" w:hAnsi="Calibri"/>
      <w:kern w:val="2"/>
      <w:sz w:val="21"/>
      <w:szCs w:val="21"/>
      <w:lang w:val="en-US" w:eastAsia="zh-CN" w:bidi="ar-SA"/>
    </w:rPr>
  </w:style>
  <w:style w:type="paragraph" w:customStyle="1" w:styleId="59">
    <w:name w:val="样式 29 10 磅"/>
    <w:pPr>
      <w:widowControl w:val="0"/>
      <w:jc w:val="both"/>
    </w:pPr>
    <w:rPr>
      <w:rFonts w:ascii="Calibri" w:eastAsia="宋体" w:cs="Calibri" w:hAnsi="Calibri"/>
      <w:kern w:val="2"/>
      <w:sz w:val="21"/>
      <w:szCs w:val="21"/>
      <w:lang w:val="en-US" w:eastAsia="zh-CN" w:bidi="ar-SA"/>
    </w:rPr>
  </w:style>
  <w:style w:type="paragraph" w:customStyle="1" w:styleId="60">
    <w:name w:val="样式 30 10 磅"/>
    <w:pPr>
      <w:widowControl w:val="0"/>
      <w:jc w:val="both"/>
    </w:pPr>
    <w:rPr>
      <w:rFonts w:ascii="Calibri" w:eastAsia="宋体" w:cs="Calibri" w:hAnsi="Calibri"/>
      <w:kern w:val="2"/>
      <w:sz w:val="21"/>
      <w:szCs w:val="21"/>
      <w:lang w:val="en-US" w:eastAsia="zh-CN" w:bidi="ar-SA"/>
    </w:rPr>
  </w:style>
  <w:style w:type="paragraph" w:customStyle="1" w:styleId="61">
    <w:name w:val="样式 31 10 磅"/>
    <w:pPr>
      <w:widowControl w:val="0"/>
      <w:jc w:val="both"/>
    </w:pPr>
    <w:rPr>
      <w:rFonts w:ascii="Calibri" w:eastAsia="宋体" w:cs="Calibri" w:hAnsi="Calibri"/>
      <w:kern w:val="2"/>
      <w:sz w:val="21"/>
      <w:szCs w:val="21"/>
      <w:lang w:val="en-US" w:eastAsia="zh-CN" w:bidi="ar-SA"/>
    </w:rPr>
  </w:style>
  <w:style w:type="paragraph" w:customStyle="1" w:styleId="62">
    <w:name w:val="样式 32 10 磅"/>
    <w:pPr>
      <w:widowControl w:val="0"/>
      <w:jc w:val="both"/>
    </w:pPr>
    <w:rPr>
      <w:rFonts w:ascii="Calibri" w:eastAsia="宋体" w:cs="Calibri" w:hAnsi="Calibri"/>
      <w:kern w:val="2"/>
      <w:sz w:val="21"/>
      <w:szCs w:val="21"/>
      <w:lang w:val="en-US" w:eastAsia="zh-CN" w:bidi="ar-SA"/>
    </w:rPr>
  </w:style>
  <w:style w:type="paragraph" w:customStyle="1" w:styleId="63">
    <w:name w:val="样式 33 10 磅"/>
    <w:pPr>
      <w:widowControl w:val="0"/>
      <w:jc w:val="both"/>
    </w:pPr>
    <w:rPr>
      <w:rFonts w:ascii="Calibri" w:eastAsia="宋体" w:cs="Calibri" w:hAnsi="Calibri"/>
      <w:kern w:val="2"/>
      <w:sz w:val="21"/>
      <w:szCs w:val="21"/>
      <w:lang w:val="en-US" w:eastAsia="zh-CN" w:bidi="ar-SA"/>
    </w:rPr>
  </w:style>
  <w:style w:type="paragraph" w:customStyle="1" w:styleId="64">
    <w:name w:val="样式 34 10 磅"/>
    <w:pPr>
      <w:widowControl w:val="0"/>
      <w:jc w:val="both"/>
    </w:pPr>
    <w:rPr>
      <w:rFonts w:ascii="Calibri" w:eastAsia="宋体" w:cs="Calibri" w:hAnsi="Calibri"/>
      <w:kern w:val="2"/>
      <w:sz w:val="21"/>
      <w:szCs w:val="21"/>
      <w:lang w:val="en-US" w:eastAsia="zh-CN" w:bidi="ar-SA"/>
    </w:rPr>
  </w:style>
  <w:style w:type="paragraph" w:customStyle="1" w:styleId="65">
    <w:name w:val="样式 35 10 磅"/>
    <w:pPr>
      <w:widowControl w:val="0"/>
      <w:jc w:val="both"/>
    </w:pPr>
    <w:rPr>
      <w:rFonts w:ascii="Calibri" w:eastAsia="宋体" w:cs="Calibri" w:hAnsi="Calibri"/>
      <w:kern w:val="2"/>
      <w:sz w:val="21"/>
      <w:szCs w:val="21"/>
      <w:lang w:val="en-US" w:eastAsia="zh-CN" w:bidi="ar-SA"/>
    </w:rPr>
  </w:style>
  <w:style w:type="paragraph" w:customStyle="1" w:styleId="66">
    <w:name w:val="样式 36 10 磅"/>
    <w:pPr>
      <w:widowControl w:val="0"/>
      <w:jc w:val="both"/>
    </w:pPr>
    <w:rPr>
      <w:rFonts w:ascii="Calibri" w:eastAsia="宋体" w:cs="Calibri" w:hAnsi="Calibri"/>
      <w:kern w:val="2"/>
      <w:sz w:val="21"/>
      <w:szCs w:val="21"/>
      <w:lang w:val="en-US" w:eastAsia="zh-CN" w:bidi="ar-SA"/>
    </w:rPr>
  </w:style>
  <w:style w:type="paragraph" w:customStyle="1" w:styleId="67">
    <w:name w:val="样式 37 10 磅"/>
    <w:pPr>
      <w:widowControl w:val="0"/>
      <w:jc w:val="both"/>
    </w:pPr>
    <w:rPr>
      <w:rFonts w:ascii="Calibri" w:eastAsia="宋体" w:cs="Calibri" w:hAnsi="Calibri"/>
      <w:kern w:val="2"/>
      <w:sz w:val="21"/>
      <w:szCs w:val="21"/>
      <w:lang w:val="en-US" w:eastAsia="zh-CN" w:bidi="ar-SA"/>
    </w:rPr>
  </w:style>
  <w:style w:type="paragraph" w:customStyle="1" w:styleId="68">
    <w:name w:val="样式 38 10 磅"/>
    <w:pPr>
      <w:widowControl w:val="0"/>
      <w:jc w:val="both"/>
    </w:pPr>
    <w:rPr>
      <w:rFonts w:ascii="Calibri" w:eastAsia="宋体" w:cs="Calibri" w:hAnsi="Calibri"/>
      <w:kern w:val="2"/>
      <w:sz w:val="21"/>
      <w:szCs w:val="21"/>
      <w:lang w:val="en-US" w:eastAsia="zh-CN" w:bidi="ar-SA"/>
    </w:rPr>
  </w:style>
  <w:style w:type="paragraph" w:customStyle="1" w:styleId="69">
    <w:name w:val="样式 39 10 磅"/>
    <w:pPr>
      <w:widowControl w:val="0"/>
      <w:jc w:val="both"/>
    </w:pPr>
    <w:rPr>
      <w:rFonts w:ascii="Calibri" w:eastAsia="宋体" w:cs="Calibri" w:hAnsi="Calibri"/>
      <w:kern w:val="2"/>
      <w:sz w:val="21"/>
      <w:szCs w:val="21"/>
      <w:lang w:val="en-US" w:eastAsia="zh-CN" w:bidi="ar-SA"/>
    </w:rPr>
  </w:style>
  <w:style w:type="paragraph" w:customStyle="1" w:styleId="70">
    <w:name w:val="样式 40 10 磅"/>
    <w:pPr>
      <w:widowControl w:val="0"/>
      <w:jc w:val="both"/>
    </w:pPr>
    <w:rPr>
      <w:rFonts w:ascii="Calibri" w:eastAsia="宋体" w:cs="Calibri" w:hAnsi="Calibri"/>
      <w:kern w:val="2"/>
      <w:sz w:val="21"/>
      <w:szCs w:val="21"/>
      <w:lang w:val="en-US" w:eastAsia="zh-CN" w:bidi="ar-SA"/>
    </w:rPr>
  </w:style>
  <w:style w:type="paragraph" w:customStyle="1" w:styleId="71">
    <w:name w:val="样式 41 10 磅"/>
    <w:pPr>
      <w:widowControl w:val="0"/>
      <w:jc w:val="both"/>
    </w:pPr>
    <w:rPr>
      <w:rFonts w:ascii="Calibri" w:eastAsia="宋体" w:cs="Calibri" w:hAnsi="Calibri"/>
      <w:kern w:val="2"/>
      <w:sz w:val="21"/>
      <w:szCs w:val="21"/>
      <w:lang w:val="en-US" w:eastAsia="zh-CN" w:bidi="ar-SA"/>
    </w:rPr>
  </w:style>
  <w:style w:type="paragraph" w:customStyle="1" w:styleId="72">
    <w:name w:val="样式 42 10 磅"/>
    <w:pPr>
      <w:widowControl w:val="0"/>
      <w:jc w:val="both"/>
    </w:pPr>
    <w:rPr>
      <w:rFonts w:ascii="Calibri" w:eastAsia="宋体" w:cs="Calibri" w:hAnsi="Calibri"/>
      <w:kern w:val="2"/>
      <w:sz w:val="21"/>
      <w:szCs w:val="21"/>
      <w:lang w:val="en-US" w:eastAsia="zh-CN" w:bidi="ar-SA"/>
    </w:rPr>
  </w:style>
  <w:style w:type="paragraph" w:customStyle="1" w:styleId="73">
    <w:name w:val="样式 43 10 磅"/>
    <w:pPr>
      <w:widowControl w:val="0"/>
      <w:jc w:val="both"/>
    </w:pPr>
    <w:rPr>
      <w:rFonts w:ascii="Calibri" w:eastAsia="宋体" w:cs="Calibri" w:hAnsi="Calibri"/>
      <w:kern w:val="2"/>
      <w:sz w:val="21"/>
      <w:szCs w:val="21"/>
      <w:lang w:val="en-US" w:eastAsia="zh-CN" w:bidi="ar-SA"/>
    </w:rPr>
  </w:style>
  <w:style w:type="paragraph" w:customStyle="1" w:styleId="74">
    <w:name w:val="样式 44 10 磅"/>
    <w:pPr>
      <w:widowControl w:val="0"/>
      <w:jc w:val="both"/>
    </w:pPr>
    <w:rPr>
      <w:rFonts w:ascii="Calibri" w:eastAsia="宋体" w:cs="Calibri" w:hAnsi="Calibri"/>
      <w:kern w:val="2"/>
      <w:sz w:val="21"/>
      <w:szCs w:val="21"/>
      <w:lang w:val="en-US" w:eastAsia="zh-CN" w:bidi="ar-SA"/>
    </w:rPr>
  </w:style>
  <w:style w:type="paragraph" w:customStyle="1" w:styleId="75">
    <w:name w:val="样式 45 10 磅"/>
    <w:pPr>
      <w:widowControl w:val="0"/>
      <w:jc w:val="both"/>
    </w:pPr>
    <w:rPr>
      <w:rFonts w:ascii="Calibri" w:eastAsia="宋体" w:cs="Calibri" w:hAnsi="Calibri"/>
      <w:kern w:val="2"/>
      <w:sz w:val="21"/>
      <w:szCs w:val="21"/>
      <w:lang w:val="en-US" w:eastAsia="zh-CN" w:bidi="ar-SA"/>
    </w:rPr>
  </w:style>
  <w:style w:type="paragraph" w:customStyle="1" w:styleId="76">
    <w:name w:val="样式 46 10 磅"/>
    <w:pPr>
      <w:widowControl w:val="0"/>
      <w:jc w:val="both"/>
    </w:pPr>
    <w:rPr>
      <w:rFonts w:ascii="Calibri" w:eastAsia="宋体" w:cs="Calibri" w:hAnsi="Calibri"/>
      <w:kern w:val="2"/>
      <w:sz w:val="21"/>
      <w:szCs w:val="21"/>
      <w:lang w:val="en-US" w:eastAsia="zh-CN" w:bidi="ar-SA"/>
    </w:rPr>
  </w:style>
  <w:style w:type="paragraph" w:customStyle="1" w:styleId="77">
    <w:name w:val="样式 47 10 磅"/>
    <w:pPr>
      <w:widowControl w:val="0"/>
      <w:jc w:val="both"/>
    </w:pPr>
    <w:rPr>
      <w:rFonts w:ascii="Calibri" w:eastAsia="宋体" w:cs="Calibri" w:hAnsi="Calibri"/>
      <w:kern w:val="2"/>
      <w:sz w:val="21"/>
      <w:szCs w:val="21"/>
      <w:lang w:val="en-US" w:eastAsia="zh-CN" w:bidi="ar-SA"/>
    </w:rPr>
  </w:style>
  <w:style w:type="paragraph" w:customStyle="1" w:styleId="78">
    <w:name w:val="样式 48 10 磅"/>
    <w:pPr>
      <w:widowControl w:val="0"/>
      <w:jc w:val="both"/>
    </w:pPr>
    <w:rPr>
      <w:rFonts w:ascii="Calibri" w:eastAsia="宋体" w:cs="Calibri" w:hAnsi="Calibri"/>
      <w:kern w:val="2"/>
      <w:sz w:val="21"/>
      <w:szCs w:val="21"/>
      <w:lang w:val="en-US" w:eastAsia="zh-CN" w:bidi="ar-SA"/>
    </w:rPr>
  </w:style>
  <w:style w:type="paragraph" w:customStyle="1" w:styleId="79">
    <w:name w:val="样式 49 10 磅"/>
    <w:pPr>
      <w:widowControl w:val="0"/>
      <w:jc w:val="both"/>
    </w:pPr>
    <w:rPr>
      <w:rFonts w:ascii="Calibri" w:eastAsia="宋体" w:cs="Calibri" w:hAnsi="Calibri"/>
      <w:kern w:val="2"/>
      <w:sz w:val="21"/>
      <w:szCs w:val="21"/>
      <w:lang w:val="en-US" w:eastAsia="zh-CN" w:bidi="ar-SA"/>
    </w:rPr>
  </w:style>
  <w:style w:type="paragraph" w:customStyle="1" w:styleId="80">
    <w:name w:val="样式 50 10 磅"/>
    <w:pPr>
      <w:widowControl w:val="0"/>
      <w:jc w:val="both"/>
    </w:pPr>
    <w:rPr>
      <w:rFonts w:ascii="Calibri" w:eastAsia="宋体" w:cs="Calibri" w:hAnsi="Calibri"/>
      <w:kern w:val="2"/>
      <w:sz w:val="21"/>
      <w:szCs w:val="21"/>
      <w:lang w:val="en-US" w:eastAsia="zh-CN" w:bidi="ar-SA"/>
    </w:rPr>
  </w:style>
  <w:style w:type="paragraph" w:customStyle="1" w:styleId="81">
    <w:name w:val="样式 51 10 磅"/>
    <w:pPr>
      <w:widowControl w:val="0"/>
      <w:jc w:val="both"/>
    </w:pPr>
    <w:rPr>
      <w:rFonts w:ascii="Calibri" w:eastAsia="宋体" w:cs="Calibri" w:hAnsi="Calibri"/>
      <w:kern w:val="2"/>
      <w:sz w:val="21"/>
      <w:szCs w:val="21"/>
      <w:lang w:val="en-US" w:eastAsia="zh-CN" w:bidi="ar-SA"/>
    </w:rPr>
  </w:style>
  <w:style w:type="paragraph" w:customStyle="1" w:styleId="82">
    <w:name w:val="样式 52 10 磅"/>
    <w:pPr>
      <w:widowControl w:val="0"/>
      <w:jc w:val="both"/>
    </w:pPr>
    <w:rPr>
      <w:rFonts w:ascii="Calibri" w:eastAsia="宋体" w:cs="Calibri" w:hAnsi="Calibri"/>
      <w:kern w:val="2"/>
      <w:sz w:val="21"/>
      <w:szCs w:val="21"/>
      <w:lang w:val="en-US" w:eastAsia="zh-CN" w:bidi="ar-SA"/>
    </w:rPr>
  </w:style>
  <w:style w:type="paragraph" w:customStyle="1" w:styleId="83">
    <w:name w:val="样式 53 10 磅"/>
    <w:pPr>
      <w:widowControl w:val="0"/>
      <w:jc w:val="both"/>
    </w:pPr>
    <w:rPr>
      <w:rFonts w:ascii="Calibri" w:eastAsia="宋体" w:cs="Calibri" w:hAnsi="Calibri"/>
      <w:kern w:val="2"/>
      <w:sz w:val="21"/>
      <w:szCs w:val="21"/>
      <w:lang w:val="en-US" w:eastAsia="zh-CN" w:bidi="ar-SA"/>
    </w:rPr>
  </w:style>
  <w:style w:type="paragraph" w:customStyle="1" w:styleId="84">
    <w:name w:val="样式 54 10 磅"/>
    <w:pPr>
      <w:widowControl w:val="0"/>
      <w:jc w:val="both"/>
    </w:pPr>
    <w:rPr>
      <w:rFonts w:ascii="Calibri" w:eastAsia="宋体" w:cs="Calibri" w:hAnsi="Calibri"/>
      <w:kern w:val="2"/>
      <w:sz w:val="21"/>
      <w:szCs w:val="21"/>
      <w:lang w:val="en-US" w:eastAsia="zh-CN" w:bidi="ar-SA"/>
    </w:rPr>
  </w:style>
  <w:style w:type="paragraph" w:customStyle="1" w:styleId="85">
    <w:name w:val="样式 55 10 磅"/>
    <w:pPr>
      <w:widowControl w:val="0"/>
      <w:jc w:val="both"/>
    </w:pPr>
    <w:rPr>
      <w:rFonts w:ascii="Calibri" w:eastAsia="宋体" w:cs="Calibri" w:hAnsi="Calibri"/>
      <w:kern w:val="2"/>
      <w:sz w:val="21"/>
      <w:szCs w:val="21"/>
      <w:lang w:val="en-US" w:eastAsia="zh-CN" w:bidi="ar-SA"/>
    </w:rPr>
  </w:style>
  <w:style w:type="paragraph" w:customStyle="1" w:styleId="86">
    <w:name w:val="样式 56 10 磅"/>
    <w:pPr>
      <w:widowControl w:val="0"/>
      <w:jc w:val="both"/>
    </w:pPr>
    <w:rPr>
      <w:rFonts w:ascii="Calibri" w:eastAsia="宋体" w:cs="Calibri" w:hAnsi="Calibri"/>
      <w:kern w:val="2"/>
      <w:sz w:val="21"/>
      <w:szCs w:val="21"/>
      <w:lang w:val="en-US" w:eastAsia="zh-CN" w:bidi="ar-SA"/>
    </w:rPr>
  </w:style>
  <w:style w:type="paragraph" w:customStyle="1" w:styleId="87">
    <w:name w:val="样式 57 10 磅"/>
    <w:pPr>
      <w:widowControl w:val="0"/>
      <w:jc w:val="both"/>
    </w:pPr>
    <w:rPr>
      <w:rFonts w:ascii="Calibri" w:eastAsia="宋体" w:cs="Calibri" w:hAnsi="Calibri"/>
      <w:kern w:val="2"/>
      <w:sz w:val="21"/>
      <w:szCs w:val="21"/>
      <w:lang w:val="en-US" w:eastAsia="zh-CN" w:bidi="ar-SA"/>
    </w:rPr>
  </w:style>
  <w:style w:type="paragraph" w:customStyle="1" w:styleId="88">
    <w:name w:val="样式 58 10 磅"/>
    <w:pPr>
      <w:widowControl w:val="0"/>
      <w:jc w:val="both"/>
    </w:pPr>
    <w:rPr>
      <w:rFonts w:ascii="Calibri" w:eastAsia="宋体" w:cs="Calibri" w:hAnsi="Calibri"/>
      <w:kern w:val="2"/>
      <w:sz w:val="21"/>
      <w:szCs w:val="21"/>
      <w:lang w:val="en-US" w:eastAsia="zh-CN" w:bidi="ar-SA"/>
    </w:rPr>
  </w:style>
  <w:style w:type="paragraph" w:customStyle="1" w:styleId="89">
    <w:name w:val="样式 59 10 磅"/>
    <w:pPr>
      <w:widowControl w:val="0"/>
      <w:jc w:val="both"/>
    </w:pPr>
    <w:rPr>
      <w:rFonts w:ascii="Calibri" w:eastAsia="宋体" w:cs="Calibri" w:hAnsi="Calibri"/>
      <w:kern w:val="2"/>
      <w:sz w:val="21"/>
      <w:szCs w:val="21"/>
      <w:lang w:val="en-US" w:eastAsia="zh-CN" w:bidi="ar-SA"/>
    </w:rPr>
  </w:style>
  <w:style w:type="paragraph" w:customStyle="1" w:styleId="90">
    <w:name w:val="样式 60 10 磅"/>
    <w:pPr>
      <w:widowControl w:val="0"/>
      <w:jc w:val="both"/>
    </w:pPr>
    <w:rPr>
      <w:rFonts w:ascii="Calibri" w:eastAsia="宋体" w:cs="Calibri" w:hAnsi="Calibri"/>
      <w:kern w:val="2"/>
      <w:sz w:val="21"/>
      <w:szCs w:val="21"/>
      <w:lang w:val="en-US" w:eastAsia="zh-CN" w:bidi="ar-SA"/>
    </w:rPr>
  </w:style>
  <w:style w:type="paragraph" w:customStyle="1" w:styleId="91">
    <w:name w:val="样式 61 10 磅"/>
    <w:pPr>
      <w:widowControl w:val="0"/>
      <w:jc w:val="both"/>
    </w:pPr>
    <w:rPr>
      <w:rFonts w:ascii="Calibri" w:eastAsia="宋体" w:cs="Calibri" w:hAnsi="Calibri"/>
      <w:kern w:val="2"/>
      <w:sz w:val="21"/>
      <w:szCs w:val="21"/>
      <w:lang w:val="en-US" w:eastAsia="zh-CN" w:bidi="ar-SA"/>
    </w:rPr>
  </w:style>
  <w:style w:type="paragraph" w:customStyle="1" w:styleId="92">
    <w:name w:val="样式 62 10 磅"/>
    <w:pPr>
      <w:widowControl w:val="0"/>
      <w:jc w:val="both"/>
    </w:pPr>
    <w:rPr>
      <w:rFonts w:ascii="Calibri" w:eastAsia="宋体" w:cs="Calibri" w:hAnsi="Calibri"/>
      <w:kern w:val="2"/>
      <w:sz w:val="21"/>
      <w:szCs w:val="21"/>
      <w:lang w:val="en-US" w:eastAsia="zh-CN" w:bidi="ar-SA"/>
    </w:rPr>
  </w:style>
  <w:style w:type="paragraph" w:customStyle="1" w:styleId="93">
    <w:name w:val="样式 63 10 磅"/>
    <w:pPr>
      <w:widowControl w:val="0"/>
      <w:jc w:val="both"/>
    </w:pPr>
    <w:rPr>
      <w:rFonts w:ascii="Calibri" w:eastAsia="宋体" w:cs="Calibri" w:hAnsi="Calibri"/>
      <w:kern w:val="2"/>
      <w:sz w:val="21"/>
      <w:szCs w:val="21"/>
      <w:lang w:val="en-US" w:eastAsia="zh-CN" w:bidi="ar-SA"/>
    </w:rPr>
  </w:style>
  <w:style w:type="paragraph" w:customStyle="1" w:styleId="94">
    <w:name w:val="样式 64 10 磅"/>
    <w:pPr>
      <w:widowControl w:val="0"/>
      <w:jc w:val="both"/>
    </w:pPr>
    <w:rPr>
      <w:rFonts w:ascii="Calibri" w:eastAsia="宋体" w:cs="Calibri" w:hAnsi="Calibri"/>
      <w:kern w:val="2"/>
      <w:sz w:val="21"/>
      <w:szCs w:val="21"/>
      <w:lang w:val="en-US" w:eastAsia="zh-CN" w:bidi="ar-SA"/>
    </w:rPr>
  </w:style>
  <w:style w:type="paragraph" w:customStyle="1" w:styleId="95">
    <w:name w:val="样式 65 10 磅"/>
    <w:pPr>
      <w:widowControl w:val="0"/>
      <w:jc w:val="both"/>
    </w:pPr>
    <w:rPr>
      <w:rFonts w:ascii="Calibri" w:eastAsia="宋体" w:cs="Calibri" w:hAnsi="Calibri"/>
      <w:kern w:val="2"/>
      <w:sz w:val="21"/>
      <w:szCs w:val="21"/>
      <w:lang w:val="en-US" w:eastAsia="zh-CN" w:bidi="ar-SA"/>
    </w:rPr>
  </w:style>
  <w:style w:type="paragraph" w:customStyle="1" w:styleId="96">
    <w:name w:val="样式 66 10 磅"/>
    <w:pPr>
      <w:widowControl w:val="0"/>
      <w:jc w:val="both"/>
    </w:pPr>
    <w:rPr>
      <w:rFonts w:ascii="Calibri" w:eastAsia="宋体" w:cs="Calibri" w:hAnsi="Calibri"/>
      <w:kern w:val="2"/>
      <w:sz w:val="21"/>
      <w:szCs w:val="21"/>
      <w:lang w:val="en-US" w:eastAsia="zh-CN" w:bidi="ar-SA"/>
    </w:rPr>
  </w:style>
  <w:style w:type="paragraph" w:customStyle="1" w:styleId="97">
    <w:name w:val="样式 67 10 磅"/>
    <w:pPr>
      <w:widowControl w:val="0"/>
      <w:jc w:val="both"/>
    </w:pPr>
    <w:rPr>
      <w:rFonts w:ascii="Calibri" w:eastAsia="宋体" w:cs="Calibri" w:hAnsi="Calibri"/>
      <w:kern w:val="2"/>
      <w:sz w:val="21"/>
      <w:szCs w:val="21"/>
      <w:lang w:val="en-US" w:eastAsia="zh-CN" w:bidi="ar-SA"/>
    </w:rPr>
  </w:style>
  <w:style w:type="paragraph" w:customStyle="1" w:styleId="98">
    <w:name w:val="样式 68 10 磅"/>
    <w:pPr>
      <w:widowControl w:val="0"/>
      <w:jc w:val="both"/>
    </w:pPr>
    <w:rPr>
      <w:rFonts w:ascii="Calibri" w:eastAsia="宋体" w:cs="Calibri" w:hAnsi="Calibri"/>
      <w:kern w:val="2"/>
      <w:sz w:val="21"/>
      <w:szCs w:val="21"/>
      <w:lang w:val="en-US" w:eastAsia="zh-CN" w:bidi="ar-SA"/>
    </w:rPr>
  </w:style>
  <w:style w:type="paragraph" w:customStyle="1" w:styleId="99">
    <w:name w:val="样式 69 10 磅"/>
    <w:pPr>
      <w:widowControl w:val="0"/>
      <w:jc w:val="both"/>
    </w:pPr>
    <w:rPr>
      <w:rFonts w:ascii="Calibri" w:eastAsia="宋体" w:cs="Calibri" w:hAnsi="Calibri"/>
      <w:kern w:val="2"/>
      <w:sz w:val="21"/>
      <w:szCs w:val="21"/>
      <w:lang w:val="en-US" w:eastAsia="zh-CN" w:bidi="ar-SA"/>
    </w:rPr>
  </w:style>
  <w:style w:type="paragraph" w:customStyle="1" w:styleId="100">
    <w:name w:val="样式 70 10 磅"/>
    <w:pPr>
      <w:widowControl w:val="0"/>
      <w:jc w:val="both"/>
    </w:pPr>
    <w:rPr>
      <w:rFonts w:ascii="Calibri" w:eastAsia="宋体" w:cs="Calibri" w:hAnsi="Calibri"/>
      <w:kern w:val="2"/>
      <w:sz w:val="21"/>
      <w:szCs w:val="21"/>
      <w:lang w:val="en-US" w:eastAsia="zh-CN" w:bidi="ar-SA"/>
    </w:rPr>
  </w:style>
  <w:style w:type="paragraph" w:customStyle="1" w:styleId="101">
    <w:name w:val="样式 71 10 磅"/>
    <w:pPr>
      <w:widowControl w:val="0"/>
      <w:jc w:val="both"/>
    </w:pPr>
    <w:rPr>
      <w:rFonts w:ascii="Calibri" w:eastAsia="宋体" w:cs="Calibri" w:hAnsi="Calibri"/>
      <w:kern w:val="2"/>
      <w:sz w:val="21"/>
      <w:szCs w:val="21"/>
      <w:lang w:val="en-US" w:eastAsia="zh-CN" w:bidi="ar-SA"/>
    </w:rPr>
  </w:style>
  <w:style w:type="paragraph" w:customStyle="1" w:styleId="102">
    <w:name w:val="样式 72 10 磅"/>
    <w:pPr>
      <w:widowControl w:val="0"/>
      <w:jc w:val="both"/>
    </w:pPr>
    <w:rPr>
      <w:rFonts w:ascii="Calibri" w:eastAsia="宋体" w:cs="Calibri" w:hAnsi="Calibri"/>
      <w:kern w:val="2"/>
      <w:sz w:val="21"/>
      <w:szCs w:val="21"/>
      <w:lang w:val="en-US" w:eastAsia="zh-CN" w:bidi="ar-SA"/>
    </w:rPr>
  </w:style>
  <w:style w:type="paragraph" w:customStyle="1" w:styleId="103">
    <w:name w:val="样式 73 10 磅"/>
    <w:pPr>
      <w:widowControl w:val="0"/>
      <w:jc w:val="both"/>
    </w:pPr>
    <w:rPr>
      <w:rFonts w:ascii="Calibri" w:eastAsia="宋体" w:cs="Calibri" w:hAnsi="Calibri"/>
      <w:kern w:val="2"/>
      <w:sz w:val="21"/>
      <w:szCs w:val="21"/>
      <w:lang w:val="en-US" w:eastAsia="zh-CN" w:bidi="ar-SA"/>
    </w:rPr>
  </w:style>
  <w:style w:type="paragraph" w:customStyle="1" w:styleId="104">
    <w:name w:val="样式 74 10 磅"/>
    <w:pPr>
      <w:widowControl w:val="0"/>
      <w:jc w:val="both"/>
    </w:pPr>
    <w:rPr>
      <w:rFonts w:ascii="Calibri" w:eastAsia="宋体" w:cs="Calibri" w:hAnsi="Calibri"/>
      <w:kern w:val="2"/>
      <w:sz w:val="21"/>
      <w:szCs w:val="21"/>
      <w:lang w:val="en-US" w:eastAsia="zh-CN" w:bidi="ar-SA"/>
    </w:rPr>
  </w:style>
  <w:style w:type="paragraph" w:customStyle="1" w:styleId="105">
    <w:name w:val="样式 75 10 磅"/>
    <w:pPr>
      <w:widowControl w:val="0"/>
      <w:jc w:val="both"/>
    </w:pPr>
    <w:rPr>
      <w:rFonts w:ascii="Calibri" w:eastAsia="宋体" w:cs="Calibri" w:hAnsi="Calibri"/>
      <w:kern w:val="2"/>
      <w:sz w:val="21"/>
      <w:szCs w:val="21"/>
      <w:lang w:val="en-US" w:eastAsia="zh-CN" w:bidi="ar-SA"/>
    </w:rPr>
  </w:style>
  <w:style w:type="paragraph" w:customStyle="1" w:styleId="106">
    <w:name w:val="样式 76 10 磅"/>
    <w:pPr>
      <w:widowControl w:val="0"/>
      <w:jc w:val="both"/>
    </w:pPr>
    <w:rPr>
      <w:rFonts w:ascii="Calibri" w:eastAsia="宋体" w:cs="Calibri" w:hAnsi="Calibri"/>
      <w:kern w:val="2"/>
      <w:sz w:val="21"/>
      <w:szCs w:val="21"/>
      <w:lang w:val="en-US" w:eastAsia="zh-CN" w:bidi="ar-SA"/>
    </w:rPr>
  </w:style>
  <w:style w:type="paragraph" w:customStyle="1" w:styleId="107">
    <w:name w:val="样式 77 10 磅"/>
    <w:pPr>
      <w:widowControl w:val="0"/>
      <w:jc w:val="both"/>
    </w:pPr>
    <w:rPr>
      <w:rFonts w:ascii="Calibri" w:eastAsia="宋体" w:cs="Calibri" w:hAnsi="Calibri"/>
      <w:kern w:val="2"/>
      <w:sz w:val="21"/>
      <w:szCs w:val="21"/>
      <w:lang w:val="en-US" w:eastAsia="zh-CN" w:bidi="ar-SA"/>
    </w:rPr>
  </w:style>
  <w:style w:type="paragraph" w:customStyle="1" w:styleId="108">
    <w:name w:val="样式 78 10 磅"/>
    <w:pPr>
      <w:widowControl w:val="0"/>
      <w:jc w:val="both"/>
    </w:pPr>
    <w:rPr>
      <w:rFonts w:ascii="Calibri" w:eastAsia="宋体" w:cs="Calibri" w:hAnsi="Calibri"/>
      <w:kern w:val="2"/>
      <w:sz w:val="21"/>
      <w:szCs w:val="21"/>
      <w:lang w:val="en-US" w:eastAsia="zh-CN" w:bidi="ar-SA"/>
    </w:rPr>
  </w:style>
  <w:style w:type="paragraph" w:customStyle="1" w:styleId="109">
    <w:name w:val="样式 79 10 磅"/>
    <w:pPr>
      <w:widowControl w:val="0"/>
      <w:jc w:val="both"/>
    </w:pPr>
    <w:rPr>
      <w:rFonts w:ascii="Calibri" w:eastAsia="宋体" w:cs="Calibri" w:hAnsi="Calibri"/>
      <w:kern w:val="2"/>
      <w:sz w:val="21"/>
      <w:szCs w:val="21"/>
      <w:lang w:val="en-US" w:eastAsia="zh-CN" w:bidi="ar-SA"/>
    </w:rPr>
  </w:style>
  <w:style w:type="paragraph" w:customStyle="1" w:styleId="110">
    <w:name w:val="样式 80 10 磅"/>
    <w:pPr>
      <w:widowControl w:val="0"/>
      <w:jc w:val="both"/>
    </w:pPr>
    <w:rPr>
      <w:rFonts w:ascii="Calibri" w:eastAsia="宋体" w:cs="Calibri" w:hAnsi="Calibri"/>
      <w:kern w:val="2"/>
      <w:sz w:val="21"/>
      <w:szCs w:val="21"/>
      <w:lang w:val="en-US" w:eastAsia="zh-CN" w:bidi="ar-SA"/>
    </w:rPr>
  </w:style>
  <w:style w:type="paragraph" w:customStyle="1" w:styleId="111">
    <w:name w:val="样式 81 10 磅"/>
    <w:pPr>
      <w:widowControl w:val="0"/>
      <w:jc w:val="both"/>
    </w:pPr>
    <w:rPr>
      <w:rFonts w:ascii="Calibri" w:eastAsia="宋体" w:cs="Calibri" w:hAnsi="Calibri"/>
      <w:kern w:val="2"/>
      <w:sz w:val="21"/>
      <w:szCs w:val="21"/>
      <w:lang w:val="en-US" w:eastAsia="zh-CN" w:bidi="ar-SA"/>
    </w:rPr>
  </w:style>
  <w:style w:type="paragraph" w:customStyle="1" w:styleId="112">
    <w:name w:val="样式 82 10 磅"/>
    <w:pPr>
      <w:widowControl w:val="0"/>
      <w:jc w:val="both"/>
    </w:pPr>
    <w:rPr>
      <w:rFonts w:ascii="Calibri" w:eastAsia="宋体" w:cs="Calibri" w:hAnsi="Calibri"/>
      <w:kern w:val="2"/>
      <w:sz w:val="21"/>
      <w:szCs w:val="21"/>
      <w:lang w:val="en-US" w:eastAsia="zh-CN" w:bidi="ar-SA"/>
    </w:rPr>
  </w:style>
  <w:style w:type="paragraph" w:customStyle="1" w:styleId="113">
    <w:name w:val="样式 83 10 磅"/>
    <w:pPr>
      <w:widowControl w:val="0"/>
      <w:jc w:val="both"/>
    </w:pPr>
    <w:rPr>
      <w:rFonts w:ascii="Calibri" w:eastAsia="宋体" w:cs="Calibri" w:hAnsi="Calibri"/>
      <w:kern w:val="2"/>
      <w:sz w:val="21"/>
      <w:szCs w:val="21"/>
      <w:lang w:val="en-US" w:eastAsia="zh-CN" w:bidi="ar-SA"/>
    </w:rPr>
  </w:style>
  <w:style w:type="paragraph" w:customStyle="1" w:styleId="114">
    <w:name w:val="样式 84 10 磅"/>
    <w:pPr>
      <w:widowControl w:val="0"/>
      <w:jc w:val="both"/>
    </w:pPr>
    <w:rPr>
      <w:rFonts w:ascii="Calibri" w:eastAsia="宋体" w:cs="Calibri" w:hAnsi="Calibri"/>
      <w:kern w:val="2"/>
      <w:sz w:val="21"/>
      <w:szCs w:val="21"/>
      <w:lang w:val="en-US" w:eastAsia="zh-CN" w:bidi="ar-SA"/>
    </w:rPr>
  </w:style>
  <w:style w:type="paragraph" w:customStyle="1" w:styleId="115">
    <w:name w:val="样式 85 10 磅"/>
    <w:pPr>
      <w:widowControl w:val="0"/>
      <w:jc w:val="both"/>
    </w:pPr>
    <w:rPr>
      <w:rFonts w:ascii="Calibri" w:eastAsia="宋体" w:cs="Calibri" w:hAnsi="Calibri"/>
      <w:kern w:val="2"/>
      <w:sz w:val="21"/>
      <w:szCs w:val="21"/>
      <w:lang w:val="en-US" w:eastAsia="zh-CN" w:bidi="ar-SA"/>
    </w:rPr>
  </w:style>
  <w:style w:type="paragraph" w:customStyle="1" w:styleId="116">
    <w:name w:val="样式 86 10 磅"/>
    <w:pPr>
      <w:widowControl w:val="0"/>
      <w:jc w:val="both"/>
    </w:pPr>
    <w:rPr>
      <w:rFonts w:ascii="Calibri" w:eastAsia="宋体" w:cs="Calibri" w:hAnsi="Calibri"/>
      <w:kern w:val="2"/>
      <w:sz w:val="21"/>
      <w:szCs w:val="21"/>
      <w:lang w:val="en-US" w:eastAsia="zh-CN" w:bidi="ar-SA"/>
    </w:rPr>
  </w:style>
  <w:style w:type="paragraph" w:customStyle="1" w:styleId="117">
    <w:name w:val="样式 87 10 磅"/>
    <w:pPr>
      <w:widowControl w:val="0"/>
      <w:jc w:val="both"/>
    </w:pPr>
    <w:rPr>
      <w:rFonts w:ascii="Calibri" w:eastAsia="宋体" w:cs="Calibri" w:hAnsi="Calibri"/>
      <w:kern w:val="2"/>
      <w:sz w:val="21"/>
      <w:szCs w:val="21"/>
      <w:lang w:val="en-US" w:eastAsia="zh-CN" w:bidi="ar-SA"/>
    </w:rPr>
  </w:style>
  <w:style w:type="paragraph" w:customStyle="1" w:styleId="118">
    <w:name w:val="样式 88 10 磅"/>
    <w:pPr>
      <w:widowControl w:val="0"/>
      <w:jc w:val="both"/>
    </w:pPr>
    <w:rPr>
      <w:rFonts w:ascii="Calibri" w:eastAsia="宋体" w:cs="Calibri" w:hAnsi="Calibri"/>
      <w:kern w:val="2"/>
      <w:sz w:val="21"/>
      <w:szCs w:val="21"/>
      <w:lang w:val="en-US" w:eastAsia="zh-CN" w:bidi="ar-SA"/>
    </w:rPr>
  </w:style>
  <w:style w:type="paragraph" w:customStyle="1" w:styleId="119">
    <w:name w:val="样式 89 10 磅"/>
    <w:pPr>
      <w:widowControl w:val="0"/>
      <w:jc w:val="both"/>
    </w:pPr>
    <w:rPr>
      <w:rFonts w:ascii="Calibri" w:eastAsia="宋体" w:cs="Calibri" w:hAnsi="Calibri"/>
      <w:kern w:val="2"/>
      <w:sz w:val="21"/>
      <w:szCs w:val="21"/>
      <w:lang w:val="en-US" w:eastAsia="zh-CN" w:bidi="ar-SA"/>
    </w:rPr>
  </w:style>
  <w:style w:type="paragraph" w:customStyle="1" w:styleId="120">
    <w:name w:val="样式 90 10 磅"/>
    <w:pPr>
      <w:widowControl w:val="0"/>
      <w:jc w:val="both"/>
    </w:pPr>
    <w:rPr>
      <w:rFonts w:ascii="Calibri" w:eastAsia="宋体" w:cs="Calibri" w:hAnsi="Calibri"/>
      <w:kern w:val="2"/>
      <w:sz w:val="21"/>
      <w:szCs w:val="21"/>
      <w:lang w:val="en-US" w:eastAsia="zh-CN" w:bidi="ar-SA"/>
    </w:rPr>
  </w:style>
  <w:style w:type="paragraph" w:customStyle="1" w:styleId="121">
    <w:name w:val="样式 91 10 磅"/>
    <w:pPr>
      <w:widowControl w:val="0"/>
      <w:jc w:val="both"/>
    </w:pPr>
    <w:rPr>
      <w:rFonts w:ascii="Calibri" w:eastAsia="宋体" w:cs="Calibri" w:hAnsi="Calibri"/>
      <w:kern w:val="2"/>
      <w:sz w:val="21"/>
      <w:szCs w:val="21"/>
      <w:lang w:val="en-US" w:eastAsia="zh-CN" w:bidi="ar-SA"/>
    </w:rPr>
  </w:style>
  <w:style w:type="paragraph" w:customStyle="1" w:styleId="122">
    <w:name w:val="样式 92 10 磅"/>
    <w:pPr>
      <w:widowControl w:val="0"/>
      <w:jc w:val="both"/>
    </w:pPr>
    <w:rPr>
      <w:rFonts w:ascii="Calibri" w:eastAsia="宋体" w:cs="Calibri" w:hAnsi="Calibri"/>
      <w:kern w:val="2"/>
      <w:sz w:val="21"/>
      <w:szCs w:val="21"/>
      <w:lang w:val="en-US" w:eastAsia="zh-CN" w:bidi="ar-SA"/>
    </w:rPr>
  </w:style>
  <w:style w:type="paragraph" w:customStyle="1" w:styleId="123">
    <w:name w:val="样式 93 10 磅"/>
    <w:pPr>
      <w:widowControl w:val="0"/>
      <w:jc w:val="both"/>
    </w:pPr>
    <w:rPr>
      <w:rFonts w:ascii="Calibri" w:eastAsia="宋体" w:cs="Calibri" w:hAnsi="Calibri"/>
      <w:kern w:val="2"/>
      <w:sz w:val="21"/>
      <w:szCs w:val="21"/>
      <w:lang w:val="en-US" w:eastAsia="zh-CN" w:bidi="ar-SA"/>
    </w:rPr>
  </w:style>
  <w:style w:type="paragraph" w:customStyle="1" w:styleId="124">
    <w:name w:val="样式 94 10 磅"/>
    <w:pPr>
      <w:widowControl w:val="0"/>
      <w:jc w:val="both"/>
    </w:pPr>
    <w:rPr>
      <w:rFonts w:ascii="Calibri" w:eastAsia="宋体" w:cs="Calibri" w:hAnsi="Calibri"/>
      <w:kern w:val="2"/>
      <w:sz w:val="21"/>
      <w:szCs w:val="21"/>
      <w:lang w:val="en-US" w:eastAsia="zh-CN" w:bidi="ar-SA"/>
    </w:rPr>
  </w:style>
  <w:style w:type="paragraph" w:customStyle="1" w:styleId="125">
    <w:name w:val="样式 95 10 磅"/>
    <w:pPr>
      <w:widowControl w:val="0"/>
      <w:jc w:val="both"/>
    </w:pPr>
    <w:rPr>
      <w:rFonts w:ascii="Calibri" w:eastAsia="宋体" w:cs="Calibri" w:hAnsi="Calibri"/>
      <w:kern w:val="2"/>
      <w:sz w:val="21"/>
      <w:szCs w:val="21"/>
      <w:lang w:val="en-US" w:eastAsia="zh-CN" w:bidi="ar-SA"/>
    </w:rPr>
  </w:style>
  <w:style w:type="paragraph" w:customStyle="1" w:styleId="126">
    <w:name w:val="样式 96 10 磅"/>
    <w:pPr>
      <w:widowControl w:val="0"/>
      <w:jc w:val="both"/>
    </w:pPr>
    <w:rPr>
      <w:rFonts w:ascii="Calibri" w:eastAsia="宋体" w:cs="Calibri" w:hAnsi="Calibri"/>
      <w:kern w:val="2"/>
      <w:sz w:val="21"/>
      <w:szCs w:val="21"/>
      <w:lang w:val="en-US" w:eastAsia="zh-CN" w:bidi="ar-SA"/>
    </w:rPr>
  </w:style>
  <w:style w:type="paragraph" w:customStyle="1" w:styleId="127">
    <w:name w:val="样式 97 10 磅"/>
    <w:pPr>
      <w:widowControl w:val="0"/>
      <w:jc w:val="both"/>
    </w:pPr>
    <w:rPr>
      <w:rFonts w:ascii="Calibri" w:eastAsia="宋体" w:cs="Calibri" w:hAnsi="Calibri"/>
      <w:kern w:val="2"/>
      <w:sz w:val="21"/>
      <w:szCs w:val="21"/>
      <w:lang w:val="en-US" w:eastAsia="zh-CN" w:bidi="ar-SA"/>
    </w:rPr>
  </w:style>
  <w:style w:type="paragraph" w:customStyle="1" w:styleId="128">
    <w:name w:val="样式 98 10 磅"/>
    <w:pPr>
      <w:widowControl w:val="0"/>
      <w:jc w:val="both"/>
    </w:pPr>
    <w:rPr>
      <w:rFonts w:ascii="Calibri" w:eastAsia="宋体" w:cs="Calibri" w:hAnsi="Calibri"/>
      <w:kern w:val="2"/>
      <w:sz w:val="21"/>
      <w:szCs w:val="21"/>
      <w:lang w:val="en-US" w:eastAsia="zh-CN" w:bidi="ar-SA"/>
    </w:rPr>
  </w:style>
  <w:style w:type="paragraph" w:customStyle="1" w:styleId="129">
    <w:name w:val="样式 99 10 磅"/>
    <w:pPr>
      <w:widowControl w:val="0"/>
      <w:jc w:val="both"/>
    </w:pPr>
    <w:rPr>
      <w:rFonts w:ascii="Calibri" w:eastAsia="宋体" w:cs="Calibri" w:hAnsi="Calibri"/>
      <w:kern w:val="2"/>
      <w:sz w:val="21"/>
      <w:szCs w:val="21"/>
      <w:lang w:val="en-US" w:eastAsia="zh-CN" w:bidi="ar-SA"/>
    </w:rPr>
  </w:style>
  <w:style w:type="paragraph" w:customStyle="1" w:styleId="130">
    <w:name w:val="样式 100 10 磅"/>
    <w:pPr>
      <w:widowControl w:val="0"/>
      <w:jc w:val="both"/>
    </w:pPr>
    <w:rPr>
      <w:rFonts w:ascii="Calibri" w:eastAsia="宋体" w:cs="Calibri" w:hAnsi="Calibri"/>
      <w:kern w:val="2"/>
      <w:sz w:val="21"/>
      <w:szCs w:val="21"/>
      <w:lang w:val="en-US" w:eastAsia="zh-CN" w:bidi="ar-SA"/>
    </w:rPr>
  </w:style>
  <w:style w:type="paragraph" w:customStyle="1" w:styleId="131">
    <w:name w:val="样式 101 10 磅"/>
    <w:pPr>
      <w:widowControl w:val="0"/>
      <w:jc w:val="both"/>
    </w:pPr>
    <w:rPr>
      <w:rFonts w:ascii="Calibri" w:eastAsia="宋体" w:cs="Calibri" w:hAnsi="Calibri"/>
      <w:kern w:val="2"/>
      <w:sz w:val="21"/>
      <w:szCs w:val="21"/>
      <w:lang w:val="en-US" w:eastAsia="zh-CN" w:bidi="ar-SA"/>
    </w:rPr>
  </w:style>
  <w:style w:type="paragraph" w:customStyle="1" w:styleId="132">
    <w:name w:val="样式 102 10 磅"/>
    <w:pPr>
      <w:widowControl w:val="0"/>
      <w:jc w:val="both"/>
    </w:pPr>
    <w:rPr>
      <w:rFonts w:ascii="Calibri" w:eastAsia="宋体" w:cs="Calibri" w:hAnsi="Calibri"/>
      <w:kern w:val="2"/>
      <w:sz w:val="21"/>
      <w:szCs w:val="21"/>
      <w:lang w:val="en-US" w:eastAsia="zh-CN" w:bidi="ar-SA"/>
    </w:rPr>
  </w:style>
  <w:style w:type="paragraph" w:customStyle="1" w:styleId="133">
    <w:name w:val="样式 103 10 磅"/>
    <w:pPr>
      <w:widowControl w:val="0"/>
      <w:jc w:val="both"/>
    </w:pPr>
    <w:rPr>
      <w:rFonts w:ascii="Calibri" w:eastAsia="宋体" w:cs="Calibri" w:hAnsi="Calibri"/>
      <w:kern w:val="2"/>
      <w:sz w:val="21"/>
      <w:szCs w:val="21"/>
      <w:lang w:val="en-US" w:eastAsia="zh-CN" w:bidi="ar-SA"/>
    </w:rPr>
  </w:style>
  <w:style w:type="paragraph" w:customStyle="1" w:styleId="134">
    <w:name w:val="样式 104 10 磅"/>
    <w:pPr>
      <w:widowControl w:val="0"/>
      <w:jc w:val="both"/>
    </w:pPr>
    <w:rPr>
      <w:rFonts w:ascii="Calibri" w:eastAsia="宋体" w:cs="Calibri" w:hAnsi="Calibri"/>
      <w:kern w:val="2"/>
      <w:sz w:val="21"/>
      <w:szCs w:val="21"/>
      <w:lang w:val="en-US" w:eastAsia="zh-CN" w:bidi="ar-SA"/>
    </w:rPr>
  </w:style>
  <w:style w:type="paragraph" w:customStyle="1" w:styleId="135">
    <w:name w:val="样式 105 10 磅"/>
    <w:pPr>
      <w:widowControl w:val="0"/>
      <w:jc w:val="both"/>
    </w:pPr>
    <w:rPr>
      <w:rFonts w:ascii="Calibri" w:eastAsia="宋体" w:cs="Calibri" w:hAnsi="Calibri"/>
      <w:kern w:val="2"/>
      <w:sz w:val="21"/>
      <w:szCs w:val="21"/>
      <w:lang w:val="en-US" w:eastAsia="zh-CN" w:bidi="ar-SA"/>
    </w:rPr>
  </w:style>
  <w:style w:type="paragraph" w:customStyle="1" w:styleId="136">
    <w:name w:val="样式 106 10 磅"/>
    <w:pPr>
      <w:widowControl w:val="0"/>
      <w:jc w:val="both"/>
    </w:pPr>
    <w:rPr>
      <w:rFonts w:ascii="Calibri" w:eastAsia="宋体" w:cs="Calibri" w:hAnsi="Calibri"/>
      <w:kern w:val="2"/>
      <w:sz w:val="21"/>
      <w:szCs w:val="21"/>
      <w:lang w:val="en-US" w:eastAsia="zh-CN" w:bidi="ar-SA"/>
    </w:rPr>
  </w:style>
  <w:style w:type="paragraph" w:customStyle="1" w:styleId="137">
    <w:name w:val="样式 107 10 磅"/>
    <w:pPr>
      <w:widowControl w:val="0"/>
      <w:jc w:val="both"/>
    </w:pPr>
    <w:rPr>
      <w:rFonts w:ascii="Calibri" w:eastAsia="宋体" w:cs="Calibri" w:hAnsi="Calibri"/>
      <w:kern w:val="2"/>
      <w:sz w:val="21"/>
      <w:szCs w:val="21"/>
      <w:lang w:val="en-US" w:eastAsia="zh-CN" w:bidi="ar-SA"/>
    </w:rPr>
  </w:style>
  <w:style w:type="paragraph" w:customStyle="1" w:styleId="138">
    <w:name w:val="样式 108 10 磅"/>
    <w:pPr>
      <w:widowControl w:val="0"/>
      <w:jc w:val="both"/>
    </w:pPr>
    <w:rPr>
      <w:rFonts w:ascii="Calibri" w:eastAsia="宋体" w:cs="Calibri" w:hAnsi="Calibri"/>
      <w:kern w:val="2"/>
      <w:sz w:val="21"/>
      <w:szCs w:val="21"/>
      <w:lang w:val="en-US" w:eastAsia="zh-CN" w:bidi="ar-SA"/>
    </w:rPr>
  </w:style>
  <w:style w:type="paragraph" w:customStyle="1" w:styleId="139">
    <w:name w:val="样式 109 10 磅"/>
    <w:pPr>
      <w:widowControl w:val="0"/>
      <w:jc w:val="both"/>
    </w:pPr>
    <w:rPr>
      <w:rFonts w:ascii="Calibri" w:eastAsia="宋体" w:cs="Calibri" w:hAnsi="Calibri"/>
      <w:kern w:val="2"/>
      <w:sz w:val="21"/>
      <w:szCs w:val="21"/>
      <w:lang w:val="en-US" w:eastAsia="zh-CN" w:bidi="ar-SA"/>
    </w:rPr>
  </w:style>
  <w:style w:type="paragraph" w:customStyle="1" w:styleId="140">
    <w:name w:val="样式 110 10 磅"/>
    <w:pPr>
      <w:widowControl w:val="0"/>
      <w:jc w:val="both"/>
    </w:pPr>
    <w:rPr>
      <w:rFonts w:ascii="Calibri" w:eastAsia="宋体" w:cs="Calibri" w:hAnsi="Calibri"/>
      <w:kern w:val="2"/>
      <w:sz w:val="21"/>
      <w:szCs w:val="21"/>
      <w:lang w:val="en-US" w:eastAsia="zh-CN" w:bidi="ar-SA"/>
    </w:rPr>
  </w:style>
  <w:style w:type="paragraph" w:customStyle="1" w:styleId="141">
    <w:name w:val="样式 111 10 磅"/>
    <w:pPr>
      <w:widowControl w:val="0"/>
      <w:jc w:val="both"/>
    </w:pPr>
    <w:rPr>
      <w:rFonts w:ascii="Calibri" w:eastAsia="宋体" w:cs="Calibri" w:hAnsi="Calibri"/>
      <w:kern w:val="2"/>
      <w:sz w:val="21"/>
      <w:szCs w:val="21"/>
      <w:lang w:val="en-US" w:eastAsia="zh-CN" w:bidi="ar-SA"/>
    </w:rPr>
  </w:style>
  <w:style w:type="paragraph" w:customStyle="1" w:styleId="142">
    <w:name w:val="样式 112 10 磅"/>
    <w:pPr>
      <w:widowControl w:val="0"/>
      <w:jc w:val="both"/>
    </w:pPr>
    <w:rPr>
      <w:rFonts w:ascii="Calibri" w:eastAsia="宋体" w:cs="Calibri" w:hAnsi="Calibri"/>
      <w:kern w:val="2"/>
      <w:sz w:val="21"/>
      <w:szCs w:val="21"/>
      <w:lang w:val="en-US" w:eastAsia="zh-CN" w:bidi="ar-SA"/>
    </w:rPr>
  </w:style>
  <w:style w:type="paragraph" w:customStyle="1" w:styleId="143">
    <w:name w:val="样式 113 10 磅"/>
    <w:pPr>
      <w:widowControl w:val="0"/>
      <w:jc w:val="both"/>
    </w:pPr>
    <w:rPr>
      <w:rFonts w:ascii="Calibri" w:eastAsia="宋体" w:cs="Calibri" w:hAnsi="Calibri"/>
      <w:kern w:val="2"/>
      <w:sz w:val="21"/>
      <w:szCs w:val="21"/>
      <w:lang w:val="en-US" w:eastAsia="zh-CN" w:bidi="ar-SA"/>
    </w:rPr>
  </w:style>
  <w:style w:type="paragraph" w:customStyle="1" w:styleId="144">
    <w:name w:val="样式 114 10 磅"/>
    <w:pPr>
      <w:widowControl w:val="0"/>
      <w:jc w:val="both"/>
    </w:pPr>
    <w:rPr>
      <w:rFonts w:ascii="Calibri" w:eastAsia="宋体" w:cs="Calibri" w:hAnsi="Calibri"/>
      <w:kern w:val="2"/>
      <w:sz w:val="21"/>
      <w:szCs w:val="21"/>
      <w:lang w:val="en-US" w:eastAsia="zh-CN" w:bidi="ar-SA"/>
    </w:rPr>
  </w:style>
  <w:style w:type="paragraph" w:customStyle="1" w:styleId="145">
    <w:name w:val="样式 115 10 磅"/>
    <w:pPr>
      <w:widowControl w:val="0"/>
      <w:jc w:val="both"/>
    </w:pPr>
    <w:rPr>
      <w:rFonts w:ascii="Calibri" w:eastAsia="宋体" w:cs="Calibri" w:hAnsi="Calibri"/>
      <w:kern w:val="2"/>
      <w:sz w:val="21"/>
      <w:szCs w:val="21"/>
      <w:lang w:val="en-US" w:eastAsia="zh-CN" w:bidi="ar-SA"/>
    </w:rPr>
  </w:style>
  <w:style w:type="paragraph" w:customStyle="1" w:styleId="146">
    <w:name w:val="样式 116 10 磅"/>
    <w:pPr>
      <w:widowControl w:val="0"/>
      <w:jc w:val="both"/>
    </w:pPr>
    <w:rPr>
      <w:rFonts w:ascii="Calibri" w:eastAsia="宋体" w:cs="Calibri" w:hAnsi="Calibri"/>
      <w:kern w:val="2"/>
      <w:sz w:val="21"/>
      <w:szCs w:val="21"/>
      <w:lang w:val="en-US" w:eastAsia="zh-CN" w:bidi="ar-SA"/>
    </w:rPr>
  </w:style>
  <w:style w:type="paragraph" w:customStyle="1" w:styleId="147">
    <w:name w:val="样式 117 10 磅"/>
    <w:pPr>
      <w:widowControl w:val="0"/>
      <w:jc w:val="both"/>
    </w:pPr>
    <w:rPr>
      <w:rFonts w:ascii="Calibri" w:eastAsia="宋体" w:cs="Calibri" w:hAnsi="Calibri"/>
      <w:kern w:val="2"/>
      <w:sz w:val="21"/>
      <w:szCs w:val="21"/>
      <w:lang w:val="en-US" w:eastAsia="zh-CN" w:bidi="ar-SA"/>
    </w:rPr>
  </w:style>
  <w:style w:type="paragraph" w:customStyle="1" w:styleId="148">
    <w:name w:val="样式 118 10 磅"/>
    <w:pPr>
      <w:widowControl w:val="0"/>
      <w:jc w:val="both"/>
    </w:pPr>
    <w:rPr>
      <w:rFonts w:ascii="Calibri" w:eastAsia="宋体" w:cs="Calibri" w:hAnsi="Calibri"/>
      <w:kern w:val="2"/>
      <w:sz w:val="21"/>
      <w:szCs w:val="21"/>
      <w:lang w:val="en-US" w:eastAsia="zh-CN" w:bidi="ar-SA"/>
    </w:rPr>
  </w:style>
  <w:style w:type="paragraph" w:customStyle="1" w:styleId="149">
    <w:name w:val="样式 119 10 磅"/>
    <w:pPr>
      <w:widowControl w:val="0"/>
      <w:jc w:val="both"/>
    </w:pPr>
    <w:rPr>
      <w:rFonts w:ascii="Calibri" w:eastAsia="宋体" w:cs="Calibri" w:hAnsi="Calibri"/>
      <w:kern w:val="2"/>
      <w:sz w:val="21"/>
      <w:szCs w:val="21"/>
      <w:lang w:val="en-US" w:eastAsia="zh-CN" w:bidi="ar-SA"/>
    </w:rPr>
  </w:style>
  <w:style w:type="paragraph" w:customStyle="1" w:styleId="150">
    <w:name w:val="样式 120 10 磅"/>
    <w:pPr>
      <w:widowControl w:val="0"/>
      <w:jc w:val="both"/>
    </w:pPr>
    <w:rPr>
      <w:rFonts w:ascii="Calibri" w:eastAsia="宋体" w:cs="Calibri" w:hAnsi="Calibri"/>
      <w:kern w:val="2"/>
      <w:sz w:val="21"/>
      <w:szCs w:val="21"/>
      <w:lang w:val="en-US" w:eastAsia="zh-CN" w:bidi="ar-SA"/>
    </w:rPr>
  </w:style>
  <w:style w:type="paragraph" w:customStyle="1" w:styleId="151">
    <w:name w:val="样式 121 10 磅"/>
    <w:pPr>
      <w:widowControl w:val="0"/>
      <w:jc w:val="both"/>
    </w:pPr>
    <w:rPr>
      <w:rFonts w:ascii="Calibri" w:eastAsia="宋体" w:cs="Calibri" w:hAnsi="Calibri"/>
      <w:kern w:val="2"/>
      <w:sz w:val="21"/>
      <w:szCs w:val="21"/>
      <w:lang w:val="en-US" w:eastAsia="zh-CN" w:bidi="ar-SA"/>
    </w:rPr>
  </w:style>
  <w:style w:type="paragraph" w:customStyle="1" w:styleId="152">
    <w:name w:val="样式 122 10 磅"/>
    <w:pPr>
      <w:widowControl w:val="0"/>
      <w:jc w:val="both"/>
    </w:pPr>
    <w:rPr>
      <w:rFonts w:ascii="Calibri" w:eastAsia="宋体" w:cs="Calibri" w:hAnsi="Calibri"/>
      <w:kern w:val="2"/>
      <w:sz w:val="21"/>
      <w:szCs w:val="21"/>
      <w:lang w:val="en-US" w:eastAsia="zh-CN" w:bidi="ar-SA"/>
    </w:rPr>
  </w:style>
  <w:style w:type="paragraph" w:customStyle="1" w:styleId="153">
    <w:name w:val="样式 123 10 磅"/>
    <w:pPr>
      <w:widowControl w:val="0"/>
      <w:jc w:val="both"/>
    </w:pPr>
    <w:rPr>
      <w:rFonts w:ascii="Calibri" w:eastAsia="宋体" w:cs="Calibri" w:hAnsi="Calibri"/>
      <w:kern w:val="2"/>
      <w:sz w:val="21"/>
      <w:szCs w:val="21"/>
      <w:lang w:val="en-US" w:eastAsia="zh-CN" w:bidi="ar-SA"/>
    </w:rPr>
  </w:style>
  <w:style w:type="paragraph" w:customStyle="1" w:styleId="154">
    <w:name w:val="样式 124 10 磅"/>
    <w:pPr>
      <w:widowControl w:val="0"/>
      <w:jc w:val="both"/>
    </w:pPr>
    <w:rPr>
      <w:rFonts w:ascii="Calibri" w:eastAsia="宋体" w:cs="Calibri" w:hAnsi="Calibri"/>
      <w:kern w:val="2"/>
      <w:sz w:val="21"/>
      <w:szCs w:val="21"/>
      <w:lang w:val="en-US" w:eastAsia="zh-CN" w:bidi="ar-SA"/>
    </w:rPr>
  </w:style>
  <w:style w:type="paragraph" w:customStyle="1" w:styleId="155">
    <w:name w:val="样式 125 10 磅"/>
    <w:pPr>
      <w:widowControl w:val="0"/>
      <w:jc w:val="both"/>
    </w:pPr>
    <w:rPr>
      <w:rFonts w:ascii="Calibri" w:eastAsia="宋体" w:cs="Calibri" w:hAnsi="Calibri"/>
      <w:kern w:val="2"/>
      <w:sz w:val="21"/>
      <w:szCs w:val="21"/>
      <w:lang w:val="en-US" w:eastAsia="zh-CN" w:bidi="ar-SA"/>
    </w:rPr>
  </w:style>
  <w:style w:type="paragraph" w:customStyle="1" w:styleId="156">
    <w:name w:val="样式 126 10 磅"/>
    <w:pPr>
      <w:widowControl w:val="0"/>
      <w:jc w:val="both"/>
    </w:pPr>
    <w:rPr>
      <w:rFonts w:ascii="Calibri" w:eastAsia="宋体" w:cs="Calibri" w:hAnsi="Calibri"/>
      <w:kern w:val="2"/>
      <w:sz w:val="21"/>
      <w:szCs w:val="21"/>
      <w:lang w:val="en-US" w:eastAsia="zh-CN" w:bidi="ar-SA"/>
    </w:rPr>
  </w:style>
  <w:style w:type="paragraph" w:customStyle="1" w:styleId="157">
    <w:name w:val="样式 127 10 磅"/>
    <w:pPr>
      <w:widowControl w:val="0"/>
      <w:jc w:val="both"/>
    </w:pPr>
    <w:rPr>
      <w:rFonts w:ascii="Calibri" w:eastAsia="宋体" w:cs="Calibri" w:hAnsi="Calibri"/>
      <w:kern w:val="2"/>
      <w:sz w:val="21"/>
      <w:szCs w:val="21"/>
      <w:lang w:val="en-US" w:eastAsia="zh-CN" w:bidi="ar-SA"/>
    </w:rPr>
  </w:style>
  <w:style w:type="paragraph" w:customStyle="1" w:styleId="158">
    <w:name w:val="样式 128 10 磅"/>
    <w:pPr>
      <w:widowControl w:val="0"/>
      <w:jc w:val="both"/>
    </w:pPr>
    <w:rPr>
      <w:rFonts w:ascii="Calibri" w:eastAsia="宋体" w:cs="Calibri" w:hAnsi="Calibri"/>
      <w:kern w:val="2"/>
      <w:sz w:val="21"/>
      <w:szCs w:val="21"/>
      <w:lang w:val="en-US" w:eastAsia="zh-CN" w:bidi="ar-SA"/>
    </w:rPr>
  </w:style>
  <w:style w:type="paragraph" w:customStyle="1" w:styleId="159">
    <w:name w:val="样式 129 10 磅"/>
    <w:pPr>
      <w:widowControl w:val="0"/>
      <w:jc w:val="both"/>
    </w:pPr>
    <w:rPr>
      <w:rFonts w:ascii="Calibri" w:eastAsia="宋体" w:cs="Calibri" w:hAnsi="Calibri"/>
      <w:kern w:val="2"/>
      <w:sz w:val="21"/>
      <w:szCs w:val="21"/>
      <w:lang w:val="en-US" w:eastAsia="zh-CN" w:bidi="ar-SA"/>
    </w:rPr>
  </w:style>
  <w:style w:type="paragraph" w:customStyle="1" w:styleId="160">
    <w:name w:val="样式 130 10 磅"/>
    <w:pPr>
      <w:widowControl w:val="0"/>
      <w:jc w:val="both"/>
    </w:pPr>
    <w:rPr>
      <w:rFonts w:ascii="Calibri" w:eastAsia="宋体" w:cs="Calibri" w:hAnsi="Calibri"/>
      <w:kern w:val="2"/>
      <w:sz w:val="21"/>
      <w:szCs w:val="21"/>
      <w:lang w:val="en-US" w:eastAsia="zh-CN" w:bidi="ar-SA"/>
    </w:rPr>
  </w:style>
  <w:style w:type="paragraph" w:customStyle="1" w:styleId="161">
    <w:name w:val="样式 131 10 磅"/>
    <w:pPr>
      <w:widowControl w:val="0"/>
      <w:jc w:val="both"/>
    </w:pPr>
    <w:rPr>
      <w:rFonts w:ascii="Calibri" w:eastAsia="宋体" w:cs="Calibri" w:hAnsi="Calibri"/>
      <w:kern w:val="2"/>
      <w:sz w:val="21"/>
      <w:szCs w:val="21"/>
      <w:lang w:val="en-US" w:eastAsia="zh-CN" w:bidi="ar-SA"/>
    </w:rPr>
  </w:style>
  <w:style w:type="paragraph" w:customStyle="1" w:styleId="162">
    <w:name w:val="样式 132 10 磅"/>
    <w:pPr>
      <w:widowControl w:val="0"/>
      <w:jc w:val="both"/>
    </w:pPr>
    <w:rPr>
      <w:rFonts w:ascii="Calibri" w:eastAsia="宋体" w:cs="Calibri" w:hAnsi="Calibri"/>
      <w:kern w:val="2"/>
      <w:sz w:val="21"/>
      <w:szCs w:val="21"/>
      <w:lang w:val="en-US" w:eastAsia="zh-CN" w:bidi="ar-SA"/>
    </w:rPr>
  </w:style>
  <w:style w:type="paragraph" w:customStyle="1" w:styleId="163">
    <w:name w:val="样式 133 10 磅"/>
    <w:pPr>
      <w:widowControl w:val="0"/>
      <w:jc w:val="both"/>
    </w:pPr>
    <w:rPr>
      <w:rFonts w:ascii="Calibri" w:eastAsia="宋体" w:cs="Calibri" w:hAnsi="Calibri"/>
      <w:kern w:val="2"/>
      <w:sz w:val="21"/>
      <w:szCs w:val="21"/>
      <w:lang w:val="en-US" w:eastAsia="zh-CN" w:bidi="ar-SA"/>
    </w:rPr>
  </w:style>
  <w:style w:type="paragraph" w:customStyle="1" w:styleId="164">
    <w:name w:val="样式 134 10 磅"/>
    <w:pPr>
      <w:widowControl w:val="0"/>
      <w:jc w:val="both"/>
    </w:pPr>
    <w:rPr>
      <w:rFonts w:ascii="Calibri" w:eastAsia="宋体" w:cs="Calibri" w:hAnsi="Calibri"/>
      <w:kern w:val="2"/>
      <w:sz w:val="21"/>
      <w:szCs w:val="21"/>
      <w:lang w:val="en-US" w:eastAsia="zh-CN" w:bidi="ar-SA"/>
    </w:rPr>
  </w:style>
  <w:style w:type="paragraph" w:customStyle="1" w:styleId="165">
    <w:name w:val="样式 135 10 磅"/>
    <w:pPr>
      <w:widowControl w:val="0"/>
      <w:jc w:val="both"/>
    </w:pPr>
    <w:rPr>
      <w:rFonts w:ascii="Calibri" w:eastAsia="宋体" w:cs="Calibri" w:hAnsi="Calibri"/>
      <w:kern w:val="2"/>
      <w:sz w:val="21"/>
      <w:szCs w:val="21"/>
      <w:lang w:val="en-US" w:eastAsia="zh-CN" w:bidi="ar-SA"/>
    </w:rPr>
  </w:style>
  <w:style w:type="paragraph" w:customStyle="1" w:styleId="166">
    <w:name w:val="样式 136 10 磅"/>
    <w:pPr>
      <w:widowControl w:val="0"/>
      <w:jc w:val="both"/>
    </w:pPr>
    <w:rPr>
      <w:rFonts w:ascii="Calibri" w:eastAsia="宋体" w:cs="Calibri" w:hAnsi="Calibri"/>
      <w:kern w:val="2"/>
      <w:sz w:val="21"/>
      <w:szCs w:val="21"/>
      <w:lang w:val="en-US" w:eastAsia="zh-CN" w:bidi="ar-SA"/>
    </w:rPr>
  </w:style>
  <w:style w:type="paragraph" w:customStyle="1" w:styleId="167">
    <w:name w:val="样式 137 10 磅"/>
    <w:pPr>
      <w:widowControl w:val="0"/>
      <w:jc w:val="both"/>
    </w:pPr>
    <w:rPr>
      <w:rFonts w:ascii="Calibri" w:eastAsia="宋体" w:cs="Calibri" w:hAnsi="Calibri"/>
      <w:kern w:val="2"/>
      <w:sz w:val="21"/>
      <w:szCs w:val="21"/>
      <w:lang w:val="en-US" w:eastAsia="zh-CN" w:bidi="ar-SA"/>
    </w:rPr>
  </w:style>
  <w:style w:type="paragraph" w:customStyle="1" w:styleId="168">
    <w:name w:val="样式 138 10 磅"/>
    <w:pPr>
      <w:widowControl w:val="0"/>
      <w:jc w:val="both"/>
    </w:pPr>
    <w:rPr>
      <w:rFonts w:ascii="Calibri" w:eastAsia="宋体" w:cs="Calibri" w:hAnsi="Calibri"/>
      <w:kern w:val="2"/>
      <w:sz w:val="21"/>
      <w:szCs w:val="21"/>
      <w:lang w:val="en-US" w:eastAsia="zh-CN" w:bidi="ar-SA"/>
    </w:rPr>
  </w:style>
  <w:style w:type="paragraph" w:customStyle="1" w:styleId="169">
    <w:name w:val="样式 139 10 磅"/>
    <w:pPr>
      <w:widowControl w:val="0"/>
      <w:jc w:val="both"/>
    </w:pPr>
    <w:rPr>
      <w:rFonts w:ascii="Calibri" w:eastAsia="宋体" w:cs="Calibri" w:hAnsi="Calibri"/>
      <w:kern w:val="2"/>
      <w:sz w:val="21"/>
      <w:szCs w:val="21"/>
      <w:lang w:val="en-US" w:eastAsia="zh-CN" w:bidi="ar-SA"/>
    </w:rPr>
  </w:style>
  <w:style w:type="paragraph" w:customStyle="1" w:styleId="170">
    <w:name w:val="样式 140 10 磅"/>
    <w:pPr>
      <w:widowControl w:val="0"/>
      <w:jc w:val="both"/>
    </w:pPr>
    <w:rPr>
      <w:rFonts w:ascii="Calibri" w:eastAsia="宋体" w:cs="Calibri" w:hAnsi="Calibri"/>
      <w:kern w:val="2"/>
      <w:sz w:val="21"/>
      <w:szCs w:val="21"/>
      <w:lang w:val="en-US" w:eastAsia="zh-CN" w:bidi="ar-SA"/>
    </w:rPr>
  </w:style>
  <w:style w:type="paragraph" w:customStyle="1" w:styleId="171">
    <w:name w:val="样式 141 10 磅"/>
    <w:pPr>
      <w:widowControl w:val="0"/>
      <w:jc w:val="both"/>
    </w:pPr>
    <w:rPr>
      <w:rFonts w:ascii="Calibri" w:eastAsia="宋体" w:cs="Calibri" w:hAnsi="Calibri"/>
      <w:kern w:val="2"/>
      <w:sz w:val="21"/>
      <w:szCs w:val="21"/>
      <w:lang w:val="en-US" w:eastAsia="zh-CN" w:bidi="ar-SA"/>
    </w:rPr>
  </w:style>
  <w:style w:type="paragraph" w:customStyle="1" w:styleId="172">
    <w:name w:val="样式 142 10 磅"/>
    <w:pPr>
      <w:widowControl w:val="0"/>
      <w:jc w:val="both"/>
    </w:pPr>
    <w:rPr>
      <w:rFonts w:ascii="Calibri" w:eastAsia="宋体" w:cs="Calibri" w:hAnsi="Calibri"/>
      <w:kern w:val="2"/>
      <w:sz w:val="21"/>
      <w:szCs w:val="21"/>
      <w:lang w:val="en-US" w:eastAsia="zh-CN" w:bidi="ar-SA"/>
    </w:rPr>
  </w:style>
  <w:style w:type="paragraph" w:customStyle="1" w:styleId="173">
    <w:name w:val="样式 143 10 磅"/>
    <w:pPr>
      <w:widowControl w:val="0"/>
      <w:jc w:val="both"/>
    </w:pPr>
    <w:rPr>
      <w:rFonts w:ascii="Calibri" w:eastAsia="宋体" w:cs="Calibri" w:hAnsi="Calibri"/>
      <w:kern w:val="2"/>
      <w:sz w:val="21"/>
      <w:szCs w:val="21"/>
      <w:lang w:val="en-US" w:eastAsia="zh-CN" w:bidi="ar-SA"/>
    </w:rPr>
  </w:style>
  <w:style w:type="paragraph" w:customStyle="1" w:styleId="174">
    <w:name w:val="样式 144 10 磅"/>
    <w:pPr>
      <w:widowControl w:val="0"/>
      <w:jc w:val="both"/>
    </w:pPr>
    <w:rPr>
      <w:rFonts w:ascii="Calibri" w:eastAsia="宋体" w:cs="Calibri" w:hAnsi="Calibri"/>
      <w:kern w:val="2"/>
      <w:sz w:val="21"/>
      <w:szCs w:val="21"/>
      <w:lang w:val="en-US" w:eastAsia="zh-CN" w:bidi="ar-SA"/>
    </w:rPr>
  </w:style>
  <w:style w:type="paragraph" w:customStyle="1" w:styleId="175">
    <w:name w:val="样式 145 10 磅"/>
    <w:pPr>
      <w:widowControl w:val="0"/>
      <w:jc w:val="both"/>
    </w:pPr>
    <w:rPr>
      <w:rFonts w:ascii="Calibri" w:eastAsia="宋体" w:cs="Calibri" w:hAnsi="Calibri"/>
      <w:kern w:val="2"/>
      <w:sz w:val="21"/>
      <w:szCs w:val="21"/>
      <w:lang w:val="en-US" w:eastAsia="zh-CN" w:bidi="ar-SA"/>
    </w:rPr>
  </w:style>
  <w:style w:type="paragraph" w:customStyle="1" w:styleId="176">
    <w:name w:val="样式 146 10 磅"/>
    <w:pPr>
      <w:widowControl w:val="0"/>
      <w:jc w:val="both"/>
    </w:pPr>
    <w:rPr>
      <w:rFonts w:ascii="Calibri" w:eastAsia="宋体" w:cs="Calibri" w:hAnsi="Calibri"/>
      <w:kern w:val="2"/>
      <w:sz w:val="21"/>
      <w:szCs w:val="21"/>
      <w:lang w:val="en-US" w:eastAsia="zh-CN" w:bidi="ar-SA"/>
    </w:rPr>
  </w:style>
  <w:style w:type="paragraph" w:customStyle="1" w:styleId="177">
    <w:name w:val="样式 147 10 磅"/>
    <w:pPr>
      <w:widowControl w:val="0"/>
      <w:jc w:val="both"/>
    </w:pPr>
    <w:rPr>
      <w:rFonts w:ascii="Calibri" w:eastAsia="宋体" w:cs="Calibri" w:hAnsi="Calibri"/>
      <w:kern w:val="2"/>
      <w:sz w:val="21"/>
      <w:szCs w:val="21"/>
      <w:lang w:val="en-US" w:eastAsia="zh-CN" w:bidi="ar-SA"/>
    </w:rPr>
  </w:style>
  <w:style w:type="paragraph" w:customStyle="1" w:styleId="178">
    <w:name w:val="样式 148 10 磅"/>
    <w:pPr>
      <w:widowControl w:val="0"/>
      <w:jc w:val="both"/>
    </w:pPr>
    <w:rPr>
      <w:rFonts w:ascii="Calibri" w:eastAsia="宋体" w:cs="Calibri" w:hAnsi="Calibri"/>
      <w:kern w:val="2"/>
      <w:sz w:val="21"/>
      <w:szCs w:val="21"/>
      <w:lang w:val="en-US" w:eastAsia="zh-CN" w:bidi="ar-SA"/>
    </w:rPr>
  </w:style>
  <w:style w:type="paragraph" w:customStyle="1" w:styleId="179">
    <w:name w:val="样式 149 10 磅"/>
    <w:pPr>
      <w:widowControl w:val="0"/>
      <w:jc w:val="both"/>
    </w:pPr>
    <w:rPr>
      <w:rFonts w:ascii="Calibri" w:eastAsia="宋体" w:cs="Calibri" w:hAnsi="Calibri"/>
      <w:kern w:val="2"/>
      <w:sz w:val="21"/>
      <w:szCs w:val="21"/>
      <w:lang w:val="en-US" w:eastAsia="zh-CN" w:bidi="ar-SA"/>
    </w:rPr>
  </w:style>
  <w:style w:type="paragraph" w:customStyle="1" w:styleId="180">
    <w:name w:val="样式 150 10 磅"/>
    <w:pPr>
      <w:widowControl w:val="0"/>
      <w:jc w:val="both"/>
    </w:pPr>
    <w:rPr>
      <w:rFonts w:ascii="Calibri" w:eastAsia="宋体" w:cs="Calibri" w:hAnsi="Calibri"/>
      <w:kern w:val="2"/>
      <w:sz w:val="21"/>
      <w:szCs w:val="21"/>
      <w:lang w:val="en-US" w:eastAsia="zh-CN" w:bidi="ar-SA"/>
    </w:rPr>
  </w:style>
  <w:style w:type="paragraph" w:customStyle="1" w:styleId="181">
    <w:name w:val="样式 151 10 磅"/>
    <w:pPr>
      <w:widowControl w:val="0"/>
      <w:jc w:val="both"/>
    </w:pPr>
    <w:rPr>
      <w:rFonts w:ascii="Calibri" w:eastAsia="宋体" w:cs="Calibri" w:hAnsi="Calibri"/>
      <w:kern w:val="2"/>
      <w:sz w:val="21"/>
      <w:szCs w:val="21"/>
      <w:lang w:val="en-US" w:eastAsia="zh-CN" w:bidi="ar-SA"/>
    </w:rPr>
  </w:style>
  <w:style w:type="paragraph" w:customStyle="1" w:styleId="182">
    <w:name w:val="样式 152 10 磅"/>
    <w:pPr>
      <w:widowControl w:val="0"/>
      <w:jc w:val="both"/>
    </w:pPr>
    <w:rPr>
      <w:rFonts w:ascii="Calibri" w:eastAsia="宋体" w:cs="Calibri" w:hAnsi="Calibri"/>
      <w:kern w:val="2"/>
      <w:sz w:val="21"/>
      <w:szCs w:val="21"/>
      <w:lang w:val="en-US" w:eastAsia="zh-CN" w:bidi="ar-SA"/>
    </w:rPr>
  </w:style>
  <w:style w:type="paragraph" w:customStyle="1" w:styleId="183">
    <w:name w:val="样式 153 10 磅"/>
    <w:pPr>
      <w:widowControl w:val="0"/>
      <w:jc w:val="both"/>
    </w:pPr>
    <w:rPr>
      <w:rFonts w:ascii="Calibri" w:eastAsia="宋体" w:cs="Calibri" w:hAnsi="Calibri"/>
      <w:kern w:val="2"/>
      <w:sz w:val="21"/>
      <w:szCs w:val="21"/>
      <w:lang w:val="en-US" w:eastAsia="zh-CN" w:bidi="ar-SA"/>
    </w:rPr>
  </w:style>
  <w:style w:type="paragraph" w:customStyle="1" w:styleId="184">
    <w:name w:val="样式 154 10 磅"/>
    <w:pPr>
      <w:widowControl w:val="0"/>
      <w:jc w:val="both"/>
    </w:pPr>
    <w:rPr>
      <w:rFonts w:ascii="Calibri" w:eastAsia="宋体" w:cs="Calibri" w:hAnsi="Calibri"/>
      <w:kern w:val="2"/>
      <w:sz w:val="21"/>
      <w:szCs w:val="21"/>
      <w:lang w:val="en-US" w:eastAsia="zh-CN" w:bidi="ar-SA"/>
    </w:rPr>
  </w:style>
  <w:style w:type="paragraph" w:customStyle="1" w:styleId="185">
    <w:name w:val="样式 155 10 磅"/>
    <w:pPr>
      <w:widowControl w:val="0"/>
      <w:jc w:val="both"/>
    </w:pPr>
    <w:rPr>
      <w:rFonts w:ascii="Calibri" w:eastAsia="宋体" w:cs="Calibri" w:hAnsi="Calibri"/>
      <w:kern w:val="2"/>
      <w:sz w:val="21"/>
      <w:szCs w:val="21"/>
      <w:lang w:val="en-US" w:eastAsia="zh-CN" w:bidi="ar-SA"/>
    </w:rPr>
  </w:style>
  <w:style w:type="paragraph" w:customStyle="1" w:styleId="186">
    <w:name w:val="样式 156 10 磅"/>
    <w:pPr>
      <w:widowControl w:val="0"/>
      <w:jc w:val="both"/>
    </w:pPr>
    <w:rPr>
      <w:rFonts w:ascii="Calibri" w:eastAsia="宋体" w:cs="Calibri" w:hAnsi="Calibri"/>
      <w:kern w:val="2"/>
      <w:sz w:val="21"/>
      <w:szCs w:val="21"/>
      <w:lang w:val="en-US" w:eastAsia="zh-CN" w:bidi="ar-SA"/>
    </w:rPr>
  </w:style>
  <w:style w:type="paragraph" w:customStyle="1" w:styleId="187">
    <w:name w:val="样式 157 10 磅"/>
    <w:pPr>
      <w:widowControl w:val="0"/>
      <w:jc w:val="both"/>
    </w:pPr>
    <w:rPr>
      <w:rFonts w:ascii="Calibri" w:eastAsia="宋体" w:cs="Calibri" w:hAnsi="Calibri"/>
      <w:kern w:val="2"/>
      <w:sz w:val="21"/>
      <w:szCs w:val="21"/>
      <w:lang w:val="en-US" w:eastAsia="zh-CN" w:bidi="ar-SA"/>
    </w:rPr>
  </w:style>
  <w:style w:type="paragraph" w:customStyle="1" w:styleId="188">
    <w:name w:val="样式 158 10 磅"/>
    <w:pPr>
      <w:widowControl w:val="0"/>
      <w:jc w:val="both"/>
    </w:pPr>
    <w:rPr>
      <w:rFonts w:ascii="Calibri" w:eastAsia="宋体" w:cs="Calibri" w:hAnsi="Calibri"/>
      <w:kern w:val="2"/>
      <w:sz w:val="21"/>
      <w:szCs w:val="21"/>
      <w:lang w:val="en-US" w:eastAsia="zh-CN" w:bidi="ar-SA"/>
    </w:rPr>
  </w:style>
  <w:style w:type="paragraph" w:customStyle="1" w:styleId="189">
    <w:name w:val="样式 159 10 磅"/>
    <w:pPr>
      <w:widowControl w:val="0"/>
      <w:jc w:val="both"/>
    </w:pPr>
    <w:rPr>
      <w:rFonts w:ascii="Calibri" w:eastAsia="宋体" w:cs="Calibri" w:hAnsi="Calibri"/>
      <w:kern w:val="2"/>
      <w:sz w:val="21"/>
      <w:szCs w:val="21"/>
      <w:lang w:val="en-US" w:eastAsia="zh-CN" w:bidi="ar-SA"/>
    </w:rPr>
  </w:style>
  <w:style w:type="paragraph" w:customStyle="1" w:styleId="190">
    <w:name w:val="样式 160 10 磅"/>
    <w:pPr>
      <w:widowControl w:val="0"/>
      <w:jc w:val="both"/>
    </w:pPr>
    <w:rPr>
      <w:rFonts w:ascii="Calibri" w:eastAsia="宋体" w:cs="Calibri" w:hAnsi="Calibri"/>
      <w:kern w:val="2"/>
      <w:sz w:val="21"/>
      <w:szCs w:val="21"/>
      <w:lang w:val="en-US" w:eastAsia="zh-CN" w:bidi="ar-SA"/>
    </w:rPr>
  </w:style>
  <w:style w:type="paragraph" w:customStyle="1" w:styleId="191">
    <w:name w:val="样式 161 10 磅"/>
    <w:pPr>
      <w:widowControl w:val="0"/>
      <w:jc w:val="both"/>
    </w:pPr>
    <w:rPr>
      <w:rFonts w:ascii="Calibri" w:eastAsia="宋体" w:cs="Calibri" w:hAnsi="Calibri"/>
      <w:kern w:val="2"/>
      <w:sz w:val="21"/>
      <w:szCs w:val="21"/>
      <w:lang w:val="en-US" w:eastAsia="zh-CN" w:bidi="ar-SA"/>
    </w:rPr>
  </w:style>
  <w:style w:type="paragraph" w:customStyle="1" w:styleId="192">
    <w:name w:val="样式 162 10 磅"/>
    <w:pPr>
      <w:widowControl w:val="0"/>
      <w:jc w:val="both"/>
    </w:pPr>
    <w:rPr>
      <w:rFonts w:ascii="Calibri" w:eastAsia="宋体" w:cs="Calibri" w:hAnsi="Calibri"/>
      <w:kern w:val="2"/>
      <w:sz w:val="21"/>
      <w:szCs w:val="21"/>
      <w:lang w:val="en-US" w:eastAsia="zh-CN" w:bidi="ar-SA"/>
    </w:rPr>
  </w:style>
  <w:style w:type="paragraph" w:customStyle="1" w:styleId="193">
    <w:name w:val="样式 163 10 磅"/>
    <w:pPr>
      <w:widowControl w:val="0"/>
      <w:jc w:val="both"/>
    </w:pPr>
    <w:rPr>
      <w:rFonts w:ascii="Calibri" w:eastAsia="宋体" w:cs="Calibri" w:hAnsi="Calibri"/>
      <w:kern w:val="2"/>
      <w:sz w:val="21"/>
      <w:szCs w:val="21"/>
      <w:lang w:val="en-US" w:eastAsia="zh-CN" w:bidi="ar-SA"/>
    </w:rPr>
  </w:style>
  <w:style w:type="paragraph" w:customStyle="1" w:styleId="194">
    <w:name w:val="样式 164 10 磅"/>
    <w:pPr>
      <w:widowControl w:val="0"/>
      <w:jc w:val="both"/>
    </w:pPr>
    <w:rPr>
      <w:rFonts w:ascii="Calibri" w:eastAsia="宋体" w:cs="Calibri" w:hAnsi="Calibri"/>
      <w:kern w:val="2"/>
      <w:sz w:val="21"/>
      <w:szCs w:val="21"/>
      <w:lang w:val="en-US" w:eastAsia="zh-CN" w:bidi="ar-SA"/>
    </w:rPr>
  </w:style>
  <w:style w:type="paragraph" w:customStyle="1" w:styleId="195">
    <w:name w:val="样式 165 10 磅"/>
    <w:pPr>
      <w:widowControl w:val="0"/>
      <w:jc w:val="both"/>
    </w:pPr>
    <w:rPr>
      <w:rFonts w:ascii="Calibri" w:eastAsia="宋体" w:cs="Calibri" w:hAnsi="Calibri"/>
      <w:kern w:val="2"/>
      <w:sz w:val="21"/>
      <w:szCs w:val="21"/>
      <w:lang w:val="en-US" w:eastAsia="zh-CN" w:bidi="ar-SA"/>
    </w:rPr>
  </w:style>
  <w:style w:type="paragraph" w:customStyle="1" w:styleId="196">
    <w:name w:val="样式 166 10 磅"/>
    <w:pPr>
      <w:widowControl w:val="0"/>
      <w:jc w:val="both"/>
    </w:pPr>
    <w:rPr>
      <w:rFonts w:ascii="Calibri" w:eastAsia="宋体" w:cs="Calibri" w:hAnsi="Calibri"/>
      <w:kern w:val="2"/>
      <w:sz w:val="21"/>
      <w:szCs w:val="21"/>
      <w:lang w:val="en-US" w:eastAsia="zh-CN" w:bidi="ar-SA"/>
    </w:rPr>
  </w:style>
  <w:style w:type="paragraph" w:customStyle="1" w:styleId="197">
    <w:name w:val="样式 167 10 磅"/>
    <w:pPr>
      <w:widowControl w:val="0"/>
      <w:jc w:val="both"/>
    </w:pPr>
    <w:rPr>
      <w:rFonts w:ascii="Calibri" w:eastAsia="宋体" w:cs="Calibri" w:hAnsi="Calibri"/>
      <w:kern w:val="2"/>
      <w:sz w:val="21"/>
      <w:szCs w:val="21"/>
      <w:lang w:val="en-US" w:eastAsia="zh-CN" w:bidi="ar-SA"/>
    </w:rPr>
  </w:style>
  <w:style w:type="paragraph" w:customStyle="1" w:styleId="198">
    <w:name w:val="样式 168 10 磅"/>
    <w:pPr>
      <w:widowControl w:val="0"/>
      <w:jc w:val="both"/>
    </w:pPr>
    <w:rPr>
      <w:rFonts w:ascii="Calibri" w:eastAsia="宋体" w:cs="Calibri" w:hAnsi="Calibri"/>
      <w:kern w:val="2"/>
      <w:sz w:val="21"/>
      <w:szCs w:val="21"/>
      <w:lang w:val="en-US" w:eastAsia="zh-CN" w:bidi="ar-SA"/>
    </w:rPr>
  </w:style>
  <w:style w:type="paragraph" w:customStyle="1" w:styleId="199">
    <w:name w:val="样式 169 10 磅"/>
    <w:pPr>
      <w:widowControl w:val="0"/>
      <w:jc w:val="both"/>
    </w:pPr>
    <w:rPr>
      <w:rFonts w:ascii="Calibri" w:eastAsia="宋体" w:cs="Calibri" w:hAnsi="Calibri"/>
      <w:kern w:val="2"/>
      <w:sz w:val="21"/>
      <w:szCs w:val="21"/>
      <w:lang w:val="en-US" w:eastAsia="zh-CN" w:bidi="ar-SA"/>
    </w:rPr>
  </w:style>
  <w:style w:type="paragraph" w:customStyle="1" w:styleId="200">
    <w:name w:val="样式 170 10 磅"/>
    <w:pPr>
      <w:widowControl w:val="0"/>
      <w:jc w:val="both"/>
    </w:pPr>
    <w:rPr>
      <w:rFonts w:ascii="Calibri" w:eastAsia="宋体" w:cs="Calibri" w:hAnsi="Calibri"/>
      <w:kern w:val="2"/>
      <w:sz w:val="21"/>
      <w:szCs w:val="21"/>
      <w:lang w:val="en-US" w:eastAsia="zh-CN" w:bidi="ar-SA"/>
    </w:rPr>
  </w:style>
  <w:style w:type="paragraph" w:customStyle="1" w:styleId="201">
    <w:name w:val="样式 171 10 磅"/>
    <w:pPr>
      <w:widowControl w:val="0"/>
      <w:jc w:val="both"/>
    </w:pPr>
    <w:rPr>
      <w:rFonts w:ascii="Calibri" w:eastAsia="宋体" w:cs="Calibri" w:hAnsi="Calibri"/>
      <w:kern w:val="2"/>
      <w:sz w:val="21"/>
      <w:szCs w:val="21"/>
      <w:lang w:val="en-US" w:eastAsia="zh-CN" w:bidi="ar-SA"/>
    </w:rPr>
  </w:style>
  <w:style w:type="paragraph" w:customStyle="1" w:styleId="202">
    <w:name w:val="样式 172 10 磅"/>
    <w:pPr>
      <w:widowControl w:val="0"/>
      <w:jc w:val="both"/>
    </w:pPr>
    <w:rPr>
      <w:rFonts w:ascii="Calibri" w:eastAsia="宋体" w:cs="Calibri" w:hAnsi="Calibri"/>
      <w:kern w:val="2"/>
      <w:sz w:val="21"/>
      <w:szCs w:val="21"/>
      <w:lang w:val="en-US" w:eastAsia="zh-CN" w:bidi="ar-SA"/>
    </w:rPr>
  </w:style>
  <w:style w:type="paragraph" w:customStyle="1" w:styleId="203">
    <w:name w:val="样式 173 10 磅"/>
    <w:pPr>
      <w:widowControl w:val="0"/>
      <w:jc w:val="both"/>
    </w:pPr>
    <w:rPr>
      <w:rFonts w:ascii="Calibri" w:eastAsia="宋体" w:cs="Calibri" w:hAnsi="Calibri"/>
      <w:kern w:val="2"/>
      <w:sz w:val="21"/>
      <w:szCs w:val="21"/>
      <w:lang w:val="en-US" w:eastAsia="zh-CN" w:bidi="ar-SA"/>
    </w:rPr>
  </w:style>
  <w:style w:type="paragraph" w:customStyle="1" w:styleId="204">
    <w:name w:val="样式 174 10 磅"/>
    <w:pPr>
      <w:widowControl w:val="0"/>
      <w:jc w:val="both"/>
    </w:pPr>
    <w:rPr>
      <w:rFonts w:ascii="Calibri" w:eastAsia="宋体" w:cs="Calibri" w:hAnsi="Calibri"/>
      <w:kern w:val="2"/>
      <w:sz w:val="21"/>
      <w:szCs w:val="21"/>
      <w:lang w:val="en-US" w:eastAsia="zh-CN" w:bidi="ar-SA"/>
    </w:rPr>
  </w:style>
  <w:style w:type="paragraph" w:customStyle="1" w:styleId="205">
    <w:name w:val="样式 175 10 磅"/>
    <w:pPr>
      <w:widowControl w:val="0"/>
      <w:jc w:val="both"/>
    </w:pPr>
    <w:rPr>
      <w:rFonts w:ascii="Calibri" w:eastAsia="宋体" w:cs="Calibri" w:hAnsi="Calibri"/>
      <w:kern w:val="2"/>
      <w:sz w:val="21"/>
      <w:szCs w:val="21"/>
      <w:lang w:val="en-US" w:eastAsia="zh-CN" w:bidi="ar-SA"/>
    </w:rPr>
  </w:style>
  <w:style w:type="paragraph" w:customStyle="1" w:styleId="206">
    <w:name w:val="样式 176 10 磅"/>
    <w:pPr>
      <w:widowControl w:val="0"/>
      <w:jc w:val="both"/>
    </w:pPr>
    <w:rPr>
      <w:rFonts w:ascii="Calibri" w:eastAsia="宋体" w:cs="Calibri" w:hAnsi="Calibri"/>
      <w:kern w:val="2"/>
      <w:sz w:val="21"/>
      <w:szCs w:val="21"/>
      <w:lang w:val="en-US" w:eastAsia="zh-CN" w:bidi="ar-SA"/>
    </w:rPr>
  </w:style>
  <w:style w:type="paragraph" w:customStyle="1" w:styleId="207">
    <w:name w:val="样式 177 10 磅"/>
    <w:pPr>
      <w:widowControl w:val="0"/>
      <w:jc w:val="both"/>
    </w:pPr>
    <w:rPr>
      <w:rFonts w:ascii="Calibri" w:eastAsia="宋体" w:cs="Calibri" w:hAnsi="Calibri"/>
      <w:kern w:val="2"/>
      <w:sz w:val="21"/>
      <w:szCs w:val="21"/>
      <w:lang w:val="en-US" w:eastAsia="zh-CN" w:bidi="ar-SA"/>
    </w:rPr>
  </w:style>
  <w:style w:type="paragraph" w:customStyle="1" w:styleId="208">
    <w:name w:val="样式 178 10 磅"/>
    <w:pPr>
      <w:widowControl w:val="0"/>
      <w:jc w:val="both"/>
    </w:pPr>
    <w:rPr>
      <w:rFonts w:ascii="Calibri" w:eastAsia="宋体" w:cs="Calibri" w:hAnsi="Calibri"/>
      <w:kern w:val="2"/>
      <w:sz w:val="21"/>
      <w:szCs w:val="21"/>
      <w:lang w:val="en-US" w:eastAsia="zh-CN" w:bidi="ar-SA"/>
    </w:rPr>
  </w:style>
  <w:style w:type="paragraph" w:customStyle="1" w:styleId="209">
    <w:name w:val="样式 179 10 磅"/>
    <w:pPr>
      <w:widowControl w:val="0"/>
      <w:jc w:val="both"/>
    </w:pPr>
    <w:rPr>
      <w:rFonts w:ascii="Calibri" w:eastAsia="宋体" w:cs="Calibri" w:hAnsi="Calibri"/>
      <w:kern w:val="2"/>
      <w:sz w:val="21"/>
      <w:szCs w:val="21"/>
      <w:lang w:val="en-US" w:eastAsia="zh-CN" w:bidi="ar-SA"/>
    </w:rPr>
  </w:style>
  <w:style w:type="paragraph" w:customStyle="1" w:styleId="210">
    <w:name w:val="样式 180 10 磅"/>
    <w:pPr>
      <w:widowControl w:val="0"/>
      <w:jc w:val="both"/>
    </w:pPr>
    <w:rPr>
      <w:rFonts w:ascii="Calibri" w:eastAsia="宋体" w:cs="Calibri" w:hAnsi="Calibri"/>
      <w:kern w:val="2"/>
      <w:sz w:val="21"/>
      <w:szCs w:val="21"/>
      <w:lang w:val="en-US" w:eastAsia="zh-CN" w:bidi="ar-SA"/>
    </w:rPr>
  </w:style>
  <w:style w:type="paragraph" w:customStyle="1" w:styleId="211">
    <w:name w:val="样式 181 10 磅"/>
    <w:pPr>
      <w:widowControl w:val="0"/>
      <w:jc w:val="both"/>
    </w:pPr>
    <w:rPr>
      <w:rFonts w:ascii="Calibri" w:eastAsia="宋体" w:cs="Calibri" w:hAnsi="Calibri"/>
      <w:kern w:val="2"/>
      <w:sz w:val="21"/>
      <w:szCs w:val="21"/>
      <w:lang w:val="en-US" w:eastAsia="zh-CN" w:bidi="ar-SA"/>
    </w:rPr>
  </w:style>
  <w:style w:type="paragraph" w:customStyle="1" w:styleId="212">
    <w:name w:val="样式 182 10 磅"/>
    <w:pPr>
      <w:widowControl w:val="0"/>
      <w:jc w:val="both"/>
    </w:pPr>
    <w:rPr>
      <w:rFonts w:ascii="Calibri" w:eastAsia="宋体" w:cs="Calibri" w:hAnsi="Calibri"/>
      <w:kern w:val="2"/>
      <w:sz w:val="21"/>
      <w:szCs w:val="21"/>
      <w:lang w:val="en-US" w:eastAsia="zh-CN" w:bidi="ar-SA"/>
    </w:rPr>
  </w:style>
  <w:style w:type="paragraph" w:customStyle="1" w:styleId="213">
    <w:name w:val="样式 183 10 磅"/>
    <w:pPr>
      <w:widowControl w:val="0"/>
      <w:jc w:val="both"/>
    </w:pPr>
    <w:rPr>
      <w:rFonts w:ascii="Calibri" w:eastAsia="宋体" w:cs="Calibri" w:hAnsi="Calibri"/>
      <w:kern w:val="2"/>
      <w:sz w:val="21"/>
      <w:szCs w:val="21"/>
      <w:lang w:val="en-US" w:eastAsia="zh-CN" w:bidi="ar-SA"/>
    </w:rPr>
  </w:style>
  <w:style w:type="paragraph" w:customStyle="1" w:styleId="214">
    <w:name w:val="样式 184 10 磅"/>
    <w:pPr>
      <w:widowControl w:val="0"/>
      <w:jc w:val="both"/>
    </w:pPr>
    <w:rPr>
      <w:rFonts w:ascii="Calibri" w:eastAsia="宋体" w:cs="Calibri" w:hAnsi="Calibri"/>
      <w:kern w:val="2"/>
      <w:sz w:val="21"/>
      <w:szCs w:val="21"/>
      <w:lang w:val="en-US" w:eastAsia="zh-CN" w:bidi="ar-SA"/>
    </w:rPr>
  </w:style>
  <w:style w:type="paragraph" w:customStyle="1" w:styleId="215">
    <w:name w:val="样式 185 10 磅"/>
    <w:pPr>
      <w:widowControl w:val="0"/>
      <w:jc w:val="both"/>
    </w:pPr>
    <w:rPr>
      <w:rFonts w:ascii="Calibri" w:eastAsia="宋体" w:cs="Calibri" w:hAnsi="Calibri"/>
      <w:kern w:val="2"/>
      <w:sz w:val="21"/>
      <w:szCs w:val="21"/>
      <w:lang w:val="en-US" w:eastAsia="zh-CN" w:bidi="ar-SA"/>
    </w:rPr>
  </w:style>
  <w:style w:type="paragraph" w:customStyle="1" w:styleId="216">
    <w:name w:val="样式 186 10 磅"/>
    <w:pPr>
      <w:widowControl w:val="0"/>
      <w:jc w:val="both"/>
    </w:pPr>
    <w:rPr>
      <w:rFonts w:ascii="Calibri" w:eastAsia="宋体" w:cs="Calibri" w:hAnsi="Calibri"/>
      <w:kern w:val="2"/>
      <w:sz w:val="21"/>
      <w:szCs w:val="21"/>
      <w:lang w:val="en-US" w:eastAsia="zh-CN" w:bidi="ar-SA"/>
    </w:rPr>
  </w:style>
  <w:style w:type="paragraph" w:customStyle="1" w:styleId="217">
    <w:name w:val="样式 187 10 磅"/>
    <w:pPr>
      <w:widowControl w:val="0"/>
      <w:jc w:val="both"/>
    </w:pPr>
    <w:rPr>
      <w:rFonts w:ascii="Calibri" w:eastAsia="宋体" w:cs="Calibri" w:hAnsi="Calibri"/>
      <w:kern w:val="2"/>
      <w:sz w:val="21"/>
      <w:szCs w:val="21"/>
      <w:lang w:val="en-US" w:eastAsia="zh-CN" w:bidi="ar-SA"/>
    </w:rPr>
  </w:style>
  <w:style w:type="paragraph" w:customStyle="1" w:styleId="218">
    <w:name w:val="样式 188 10 磅"/>
    <w:pPr>
      <w:widowControl w:val="0"/>
      <w:jc w:val="both"/>
    </w:pPr>
    <w:rPr>
      <w:rFonts w:ascii="Calibri" w:eastAsia="宋体" w:cs="Calibri" w:hAnsi="Calibri"/>
      <w:kern w:val="2"/>
      <w:sz w:val="21"/>
      <w:szCs w:val="21"/>
      <w:lang w:val="en-US" w:eastAsia="zh-CN" w:bidi="ar-SA"/>
    </w:rPr>
  </w:style>
  <w:style w:type="paragraph" w:customStyle="1" w:styleId="219">
    <w:name w:val="样式 189 10 磅"/>
    <w:pPr>
      <w:widowControl w:val="0"/>
      <w:jc w:val="both"/>
    </w:pPr>
    <w:rPr>
      <w:rFonts w:ascii="Calibri" w:eastAsia="宋体" w:cs="Calibri" w:hAnsi="Calibri"/>
      <w:kern w:val="2"/>
      <w:sz w:val="21"/>
      <w:szCs w:val="21"/>
      <w:lang w:val="en-US" w:eastAsia="zh-CN" w:bidi="ar-SA"/>
    </w:rPr>
  </w:style>
  <w:style w:type="paragraph" w:customStyle="1" w:styleId="220">
    <w:name w:val="样式 190 10 磅"/>
    <w:pPr>
      <w:widowControl w:val="0"/>
      <w:jc w:val="both"/>
    </w:pPr>
    <w:rPr>
      <w:rFonts w:ascii="Calibri" w:eastAsia="宋体" w:cs="Calibri" w:hAnsi="Calibri"/>
      <w:kern w:val="2"/>
      <w:sz w:val="21"/>
      <w:szCs w:val="21"/>
      <w:lang w:val="en-US" w:eastAsia="zh-CN" w:bidi="ar-SA"/>
    </w:rPr>
  </w:style>
  <w:style w:type="paragraph" w:customStyle="1" w:styleId="221">
    <w:name w:val="样式 191 10 磅"/>
    <w:pPr>
      <w:widowControl w:val="0"/>
      <w:jc w:val="both"/>
    </w:pPr>
    <w:rPr>
      <w:rFonts w:ascii="Calibri" w:eastAsia="宋体" w:cs="Calibri" w:hAnsi="Calibri"/>
      <w:kern w:val="2"/>
      <w:sz w:val="21"/>
      <w:szCs w:val="21"/>
      <w:lang w:val="en-US" w:eastAsia="zh-CN" w:bidi="ar-SA"/>
    </w:rPr>
  </w:style>
  <w:style w:type="paragraph" w:customStyle="1" w:styleId="222">
    <w:name w:val="样式 192 10 磅"/>
    <w:pPr>
      <w:widowControl w:val="0"/>
      <w:jc w:val="both"/>
    </w:pPr>
    <w:rPr>
      <w:rFonts w:ascii="Calibri" w:eastAsia="宋体" w:cs="Calibri" w:hAnsi="Calibri"/>
      <w:kern w:val="2"/>
      <w:sz w:val="21"/>
      <w:szCs w:val="21"/>
      <w:lang w:val="en-US" w:eastAsia="zh-CN" w:bidi="ar-SA"/>
    </w:rPr>
  </w:style>
  <w:style w:type="paragraph" w:customStyle="1" w:styleId="223">
    <w:name w:val="样式 193 10 磅"/>
    <w:pPr>
      <w:widowControl w:val="0"/>
      <w:jc w:val="both"/>
    </w:pPr>
    <w:rPr>
      <w:rFonts w:ascii="Calibri" w:eastAsia="宋体" w:cs="Calibri" w:hAnsi="Calibri"/>
      <w:kern w:val="2"/>
      <w:sz w:val="21"/>
      <w:szCs w:val="21"/>
      <w:lang w:val="en-US" w:eastAsia="zh-CN" w:bidi="ar-SA"/>
    </w:rPr>
  </w:style>
  <w:style w:type="paragraph" w:customStyle="1" w:styleId="224">
    <w:name w:val="样式 194 10 磅"/>
    <w:pPr>
      <w:widowControl w:val="0"/>
      <w:jc w:val="both"/>
    </w:pPr>
    <w:rPr>
      <w:rFonts w:ascii="Calibri" w:eastAsia="宋体" w:cs="Calibri" w:hAnsi="Calibri"/>
      <w:kern w:val="2"/>
      <w:sz w:val="21"/>
      <w:szCs w:val="21"/>
      <w:lang w:val="en-US" w:eastAsia="zh-CN" w:bidi="ar-SA"/>
    </w:rPr>
  </w:style>
  <w:style w:type="paragraph" w:customStyle="1" w:styleId="225">
    <w:name w:val="样式 195 10 磅"/>
    <w:pPr>
      <w:widowControl w:val="0"/>
      <w:jc w:val="both"/>
    </w:pPr>
    <w:rPr>
      <w:rFonts w:ascii="Calibri" w:eastAsia="宋体" w:cs="Calibri" w:hAnsi="Calibri"/>
      <w:kern w:val="2"/>
      <w:sz w:val="21"/>
      <w:szCs w:val="21"/>
      <w:lang w:val="en-US" w:eastAsia="zh-CN" w:bidi="ar-SA"/>
    </w:rPr>
  </w:style>
  <w:style w:type="paragraph" w:customStyle="1" w:styleId="226">
    <w:name w:val="样式 196 10 磅"/>
    <w:pPr>
      <w:widowControl w:val="0"/>
      <w:jc w:val="both"/>
    </w:pPr>
    <w:rPr>
      <w:rFonts w:ascii="Calibri" w:eastAsia="宋体" w:cs="Calibri" w:hAnsi="Calibri"/>
      <w:kern w:val="2"/>
      <w:sz w:val="21"/>
      <w:szCs w:val="21"/>
      <w:lang w:val="en-US" w:eastAsia="zh-CN" w:bidi="ar-SA"/>
    </w:rPr>
  </w:style>
  <w:style w:type="paragraph" w:customStyle="1" w:styleId="227">
    <w:name w:val="样式 197 10 磅"/>
    <w:pPr>
      <w:widowControl w:val="0"/>
      <w:jc w:val="both"/>
    </w:pPr>
    <w:rPr>
      <w:rFonts w:ascii="Calibri" w:eastAsia="宋体" w:cs="Calibri" w:hAnsi="Calibri"/>
      <w:kern w:val="2"/>
      <w:sz w:val="21"/>
      <w:szCs w:val="21"/>
      <w:lang w:val="en-US" w:eastAsia="zh-CN" w:bidi="ar-SA"/>
    </w:rPr>
  </w:style>
  <w:style w:type="paragraph" w:customStyle="1" w:styleId="228">
    <w:name w:val="样式 198 10 磅"/>
    <w:pPr>
      <w:widowControl w:val="0"/>
      <w:jc w:val="both"/>
    </w:pPr>
    <w:rPr>
      <w:rFonts w:ascii="Calibri" w:eastAsia="宋体" w:cs="Calibri" w:hAnsi="Calibri"/>
      <w:kern w:val="2"/>
      <w:sz w:val="21"/>
      <w:szCs w:val="21"/>
      <w:lang w:val="en-US" w:eastAsia="zh-CN" w:bidi="ar-SA"/>
    </w:rPr>
  </w:style>
  <w:style w:type="paragraph" w:customStyle="1" w:styleId="229">
    <w:name w:val="样式 199 10 磅"/>
    <w:pPr>
      <w:widowControl w:val="0"/>
      <w:jc w:val="both"/>
    </w:pPr>
    <w:rPr>
      <w:rFonts w:ascii="Calibri" w:eastAsia="宋体" w:cs="Calibri" w:hAnsi="Calibri"/>
      <w:kern w:val="2"/>
      <w:sz w:val="21"/>
      <w:szCs w:val="21"/>
      <w:lang w:val="en-US" w:eastAsia="zh-CN" w:bidi="ar-SA"/>
    </w:rPr>
  </w:style>
  <w:style w:type="paragraph" w:customStyle="1" w:styleId="230">
    <w:name w:val="样式 200 10 磅"/>
    <w:pPr>
      <w:widowControl w:val="0"/>
      <w:jc w:val="both"/>
    </w:pPr>
    <w:rPr>
      <w:rFonts w:ascii="Calibri" w:eastAsia="宋体" w:cs="Calibri" w:hAnsi="Calibri"/>
      <w:kern w:val="2"/>
      <w:sz w:val="21"/>
      <w:szCs w:val="21"/>
      <w:lang w:val="en-US" w:eastAsia="zh-CN" w:bidi="ar-SA"/>
    </w:rPr>
  </w:style>
  <w:style w:type="paragraph" w:customStyle="1" w:styleId="231">
    <w:name w:val="样式 201 10 磅"/>
    <w:pPr>
      <w:widowControl w:val="0"/>
      <w:jc w:val="both"/>
    </w:pPr>
    <w:rPr>
      <w:rFonts w:ascii="Calibri" w:eastAsia="宋体" w:cs="Calibri" w:hAnsi="Calibri"/>
      <w:kern w:val="2"/>
      <w:sz w:val="21"/>
      <w:szCs w:val="21"/>
      <w:lang w:val="en-US" w:eastAsia="zh-CN" w:bidi="ar-SA"/>
    </w:rPr>
  </w:style>
  <w:style w:type="paragraph" w:customStyle="1" w:styleId="232">
    <w:name w:val="样式 202 10 磅"/>
    <w:pPr>
      <w:widowControl w:val="0"/>
      <w:jc w:val="both"/>
    </w:pPr>
    <w:rPr>
      <w:rFonts w:ascii="Calibri" w:eastAsia="宋体" w:cs="Calibri" w:hAnsi="Calibri"/>
      <w:kern w:val="2"/>
      <w:sz w:val="21"/>
      <w:szCs w:val="21"/>
      <w:lang w:val="en-US" w:eastAsia="zh-CN" w:bidi="ar-SA"/>
    </w:rPr>
  </w:style>
  <w:style w:type="paragraph" w:customStyle="1" w:styleId="233">
    <w:name w:val="样式 203 10 磅"/>
    <w:pPr>
      <w:widowControl w:val="0"/>
      <w:jc w:val="both"/>
    </w:pPr>
    <w:rPr>
      <w:rFonts w:ascii="Calibri" w:eastAsia="宋体" w:cs="Calibri" w:hAnsi="Calibri"/>
      <w:kern w:val="2"/>
      <w:sz w:val="21"/>
      <w:szCs w:val="21"/>
      <w:lang w:val="en-US" w:eastAsia="zh-CN" w:bidi="ar-SA"/>
    </w:rPr>
  </w:style>
  <w:style w:type="paragraph" w:customStyle="1" w:styleId="234">
    <w:name w:val="样式 204 10 磅"/>
    <w:pPr>
      <w:widowControl w:val="0"/>
      <w:jc w:val="both"/>
    </w:pPr>
    <w:rPr>
      <w:rFonts w:ascii="Calibri" w:eastAsia="宋体" w:cs="Calibri" w:hAnsi="Calibri"/>
      <w:kern w:val="2"/>
      <w:sz w:val="21"/>
      <w:szCs w:val="21"/>
      <w:lang w:val="en-US" w:eastAsia="zh-CN" w:bidi="ar-SA"/>
    </w:rPr>
  </w:style>
  <w:style w:type="paragraph" w:customStyle="1" w:styleId="235">
    <w:name w:val="样式 205 10 磅"/>
    <w:pPr>
      <w:widowControl w:val="0"/>
      <w:jc w:val="both"/>
    </w:pPr>
    <w:rPr>
      <w:rFonts w:ascii="Calibri" w:eastAsia="宋体" w:cs="Calibri" w:hAnsi="Calibri"/>
      <w:kern w:val="2"/>
      <w:sz w:val="21"/>
      <w:szCs w:val="21"/>
      <w:lang w:val="en-US" w:eastAsia="zh-CN" w:bidi="ar-SA"/>
    </w:rPr>
  </w:style>
  <w:style w:type="paragraph" w:customStyle="1" w:styleId="236">
    <w:name w:val="样式 206 10 磅"/>
    <w:pPr>
      <w:widowControl w:val="0"/>
      <w:jc w:val="both"/>
    </w:pPr>
    <w:rPr>
      <w:rFonts w:ascii="Calibri" w:eastAsia="宋体" w:cs="Calibri" w:hAnsi="Calibri"/>
      <w:kern w:val="2"/>
      <w:sz w:val="21"/>
      <w:szCs w:val="21"/>
      <w:lang w:val="en-US" w:eastAsia="zh-CN" w:bidi="ar-SA"/>
    </w:rPr>
  </w:style>
  <w:style w:type="paragraph" w:customStyle="1" w:styleId="237">
    <w:name w:val="样式 207 10 磅"/>
    <w:pPr>
      <w:widowControl w:val="0"/>
      <w:jc w:val="both"/>
    </w:pPr>
    <w:rPr>
      <w:rFonts w:ascii="Calibri" w:eastAsia="宋体" w:cs="Calibri" w:hAnsi="Calibri"/>
      <w:kern w:val="2"/>
      <w:sz w:val="21"/>
      <w:szCs w:val="21"/>
      <w:lang w:val="en-US" w:eastAsia="zh-CN" w:bidi="ar-SA"/>
    </w:rPr>
  </w:style>
  <w:style w:type="paragraph" w:customStyle="1" w:styleId="238">
    <w:name w:val="样式 208 10 磅"/>
    <w:pPr>
      <w:widowControl w:val="0"/>
      <w:jc w:val="both"/>
    </w:pPr>
    <w:rPr>
      <w:rFonts w:ascii="Calibri" w:eastAsia="宋体" w:cs="Calibri" w:hAnsi="Calibri"/>
      <w:kern w:val="2"/>
      <w:sz w:val="21"/>
      <w:szCs w:val="21"/>
      <w:lang w:val="en-US" w:eastAsia="zh-CN" w:bidi="ar-SA"/>
    </w:rPr>
  </w:style>
  <w:style w:type="paragraph" w:customStyle="1" w:styleId="239">
    <w:name w:val="样式 209 10 磅"/>
    <w:pPr>
      <w:widowControl w:val="0"/>
      <w:jc w:val="both"/>
    </w:pPr>
    <w:rPr>
      <w:rFonts w:ascii="Calibri" w:eastAsia="宋体" w:cs="Calibri" w:hAnsi="Calibri"/>
      <w:kern w:val="2"/>
      <w:sz w:val="21"/>
      <w:szCs w:val="21"/>
      <w:lang w:val="en-US" w:eastAsia="zh-CN" w:bidi="ar-SA"/>
    </w:rPr>
  </w:style>
  <w:style w:type="paragraph" w:customStyle="1" w:styleId="240">
    <w:name w:val="样式 210 10 磅"/>
    <w:pPr>
      <w:widowControl w:val="0"/>
      <w:jc w:val="both"/>
    </w:pPr>
    <w:rPr>
      <w:rFonts w:ascii="Calibri" w:eastAsia="宋体" w:cs="Calibri" w:hAnsi="Calibri"/>
      <w:kern w:val="2"/>
      <w:sz w:val="21"/>
      <w:szCs w:val="21"/>
      <w:lang w:val="en-US" w:eastAsia="zh-CN" w:bidi="ar-SA"/>
    </w:rPr>
  </w:style>
  <w:style w:type="paragraph" w:customStyle="1" w:styleId="241">
    <w:name w:val="样式 211 10 磅"/>
    <w:pPr>
      <w:widowControl w:val="0"/>
      <w:jc w:val="both"/>
    </w:pPr>
    <w:rPr>
      <w:rFonts w:ascii="Calibri" w:eastAsia="宋体" w:cs="Calibri" w:hAnsi="Calibri"/>
      <w:kern w:val="2"/>
      <w:sz w:val="21"/>
      <w:szCs w:val="21"/>
      <w:lang w:val="en-US" w:eastAsia="zh-CN" w:bidi="ar-SA"/>
    </w:rPr>
  </w:style>
  <w:style w:type="paragraph" w:customStyle="1" w:styleId="242">
    <w:name w:val="样式 212 10 磅"/>
    <w:pPr>
      <w:widowControl w:val="0"/>
      <w:jc w:val="both"/>
    </w:pPr>
    <w:rPr>
      <w:rFonts w:ascii="Calibri" w:eastAsia="宋体" w:cs="Calibri" w:hAnsi="Calibri"/>
      <w:kern w:val="2"/>
      <w:sz w:val="21"/>
      <w:szCs w:val="21"/>
      <w:lang w:val="en-US" w:eastAsia="zh-CN" w:bidi="ar-SA"/>
    </w:rPr>
  </w:style>
  <w:style w:type="paragraph" w:customStyle="1" w:styleId="243">
    <w:name w:val="样式 213 10 磅"/>
    <w:pPr>
      <w:widowControl w:val="0"/>
      <w:jc w:val="both"/>
    </w:pPr>
    <w:rPr>
      <w:rFonts w:ascii="Calibri" w:eastAsia="宋体" w:cs="Calibri" w:hAnsi="Calibri"/>
      <w:kern w:val="2"/>
      <w:sz w:val="21"/>
      <w:szCs w:val="21"/>
      <w:lang w:val="en-US" w:eastAsia="zh-CN" w:bidi="ar-SA"/>
    </w:rPr>
  </w:style>
  <w:style w:type="paragraph" w:customStyle="1" w:styleId="244">
    <w:name w:val="样式 214 10 磅"/>
    <w:pPr>
      <w:widowControl w:val="0"/>
      <w:jc w:val="both"/>
    </w:pPr>
    <w:rPr>
      <w:rFonts w:ascii="Calibri" w:eastAsia="宋体" w:cs="Calibri" w:hAnsi="Calibri"/>
      <w:kern w:val="2"/>
      <w:sz w:val="21"/>
      <w:szCs w:val="21"/>
      <w:lang w:val="en-US" w:eastAsia="zh-CN" w:bidi="ar-SA"/>
    </w:rPr>
  </w:style>
  <w:style w:type="paragraph" w:customStyle="1" w:styleId="245">
    <w:name w:val="样式 215 10 磅"/>
    <w:pPr>
      <w:widowControl w:val="0"/>
      <w:jc w:val="both"/>
    </w:pPr>
    <w:rPr>
      <w:rFonts w:ascii="Calibri" w:eastAsia="宋体" w:cs="Calibri" w:hAnsi="Calibri"/>
      <w:kern w:val="2"/>
      <w:sz w:val="21"/>
      <w:szCs w:val="21"/>
      <w:lang w:val="en-US" w:eastAsia="zh-CN" w:bidi="ar-SA"/>
    </w:rPr>
  </w:style>
  <w:style w:type="paragraph" w:customStyle="1" w:styleId="246">
    <w:name w:val="样式 216 10 磅"/>
    <w:pPr>
      <w:widowControl w:val="0"/>
      <w:jc w:val="both"/>
    </w:pPr>
    <w:rPr>
      <w:rFonts w:ascii="Calibri" w:eastAsia="宋体" w:cs="Calibri" w:hAnsi="Calibri"/>
      <w:kern w:val="2"/>
      <w:sz w:val="21"/>
      <w:szCs w:val="21"/>
      <w:lang w:val="en-US" w:eastAsia="zh-CN" w:bidi="ar-SA"/>
    </w:rPr>
  </w:style>
  <w:style w:type="paragraph" w:customStyle="1" w:styleId="247">
    <w:name w:val="样式 217 10 磅"/>
    <w:pPr>
      <w:widowControl w:val="0"/>
      <w:jc w:val="both"/>
    </w:pPr>
    <w:rPr>
      <w:rFonts w:ascii="Calibri" w:eastAsia="宋体" w:cs="Calibri" w:hAnsi="Calibri"/>
      <w:kern w:val="2"/>
      <w:sz w:val="21"/>
      <w:szCs w:val="21"/>
      <w:lang w:val="en-US" w:eastAsia="zh-CN" w:bidi="ar-SA"/>
    </w:rPr>
  </w:style>
  <w:style w:type="paragraph" w:customStyle="1" w:styleId="248">
    <w:name w:val="样式 218 10 磅"/>
    <w:pPr>
      <w:widowControl w:val="0"/>
      <w:jc w:val="both"/>
    </w:pPr>
    <w:rPr>
      <w:rFonts w:ascii="Calibri" w:eastAsia="宋体" w:cs="Calibri" w:hAnsi="Calibri"/>
      <w:kern w:val="2"/>
      <w:sz w:val="21"/>
      <w:szCs w:val="21"/>
      <w:lang w:val="en-US" w:eastAsia="zh-CN" w:bidi="ar-SA"/>
    </w:rPr>
  </w:style>
  <w:style w:type="paragraph" w:customStyle="1" w:styleId="249">
    <w:name w:val="样式 219 10 磅"/>
    <w:pPr>
      <w:widowControl w:val="0"/>
      <w:jc w:val="both"/>
    </w:pPr>
    <w:rPr>
      <w:rFonts w:ascii="Calibri" w:eastAsia="宋体" w:cs="Calibri" w:hAnsi="Calibri"/>
      <w:kern w:val="2"/>
      <w:sz w:val="21"/>
      <w:szCs w:val="21"/>
      <w:lang w:val="en-US" w:eastAsia="zh-CN" w:bidi="ar-SA"/>
    </w:rPr>
  </w:style>
  <w:style w:type="paragraph" w:customStyle="1" w:styleId="250">
    <w:name w:val="样式 220 10 磅"/>
    <w:pPr>
      <w:widowControl w:val="0"/>
      <w:jc w:val="both"/>
    </w:pPr>
    <w:rPr>
      <w:rFonts w:ascii="Calibri" w:eastAsia="宋体" w:cs="Calibri" w:hAnsi="Calibri"/>
      <w:kern w:val="2"/>
      <w:sz w:val="21"/>
      <w:szCs w:val="21"/>
      <w:lang w:val="en-US" w:eastAsia="zh-CN" w:bidi="ar-SA"/>
    </w:rPr>
  </w:style>
  <w:style w:type="paragraph" w:customStyle="1" w:styleId="251">
    <w:name w:val="样式 221 10 磅"/>
    <w:pPr>
      <w:widowControl w:val="0"/>
      <w:jc w:val="both"/>
    </w:pPr>
    <w:rPr>
      <w:rFonts w:ascii="Calibri" w:eastAsia="宋体" w:cs="Calibri" w:hAnsi="Calibri"/>
      <w:kern w:val="2"/>
      <w:sz w:val="21"/>
      <w:szCs w:val="21"/>
      <w:lang w:val="en-US" w:eastAsia="zh-CN" w:bidi="ar-SA"/>
    </w:rPr>
  </w:style>
  <w:style w:type="paragraph" w:customStyle="1" w:styleId="252">
    <w:name w:val="样式 222 10 磅"/>
    <w:pPr>
      <w:widowControl w:val="0"/>
      <w:jc w:val="both"/>
    </w:pPr>
    <w:rPr>
      <w:rFonts w:ascii="Calibri" w:eastAsia="宋体" w:cs="Calibri" w:hAnsi="Calibri"/>
      <w:kern w:val="2"/>
      <w:sz w:val="21"/>
      <w:szCs w:val="21"/>
      <w:lang w:val="en-US" w:eastAsia="zh-CN" w:bidi="ar-SA"/>
    </w:rPr>
  </w:style>
  <w:style w:type="paragraph" w:customStyle="1" w:styleId="253">
    <w:name w:val="样式 223 10 磅"/>
    <w:pPr>
      <w:widowControl w:val="0"/>
      <w:jc w:val="both"/>
    </w:pPr>
    <w:rPr>
      <w:rFonts w:ascii="Calibri" w:eastAsia="宋体" w:cs="Calibri" w:hAnsi="Calibri"/>
      <w:kern w:val="2"/>
      <w:sz w:val="21"/>
      <w:szCs w:val="21"/>
      <w:lang w:val="en-US" w:eastAsia="zh-CN" w:bidi="ar-SA"/>
    </w:rPr>
  </w:style>
  <w:style w:type="paragraph" w:customStyle="1" w:styleId="254">
    <w:name w:val="样式 224 10 磅"/>
    <w:pPr>
      <w:widowControl w:val="0"/>
      <w:jc w:val="both"/>
    </w:pPr>
    <w:rPr>
      <w:rFonts w:ascii="Calibri" w:eastAsia="宋体" w:cs="Calibri" w:hAnsi="Calibri"/>
      <w:kern w:val="2"/>
      <w:sz w:val="21"/>
      <w:szCs w:val="21"/>
      <w:lang w:val="en-US" w:eastAsia="zh-CN" w:bidi="ar-SA"/>
    </w:rPr>
  </w:style>
  <w:style w:type="paragraph" w:customStyle="1" w:styleId="255">
    <w:name w:val="样式 225 10 磅"/>
    <w:pPr>
      <w:widowControl w:val="0"/>
      <w:jc w:val="both"/>
    </w:pPr>
    <w:rPr>
      <w:rFonts w:ascii="Calibri" w:eastAsia="宋体" w:cs="Calibri" w:hAnsi="Calibri"/>
      <w:kern w:val="2"/>
      <w:sz w:val="21"/>
      <w:szCs w:val="21"/>
      <w:lang w:val="en-US" w:eastAsia="zh-CN" w:bidi="ar-SA"/>
    </w:rPr>
  </w:style>
  <w:style w:type="paragraph" w:customStyle="1" w:styleId="256">
    <w:name w:val="样式 226 10 磅"/>
    <w:pPr>
      <w:widowControl w:val="0"/>
      <w:jc w:val="both"/>
    </w:pPr>
    <w:rPr>
      <w:rFonts w:ascii="Calibri" w:eastAsia="宋体" w:cs="Calibri" w:hAnsi="Calibri"/>
      <w:kern w:val="2"/>
      <w:sz w:val="21"/>
      <w:szCs w:val="21"/>
      <w:lang w:val="en-US" w:eastAsia="zh-CN" w:bidi="ar-SA"/>
    </w:rPr>
  </w:style>
  <w:style w:type="paragraph" w:customStyle="1" w:styleId="257">
    <w:name w:val="样式 227 10 磅"/>
    <w:pPr>
      <w:widowControl w:val="0"/>
      <w:jc w:val="both"/>
    </w:pPr>
    <w:rPr>
      <w:rFonts w:ascii="Calibri" w:eastAsia="宋体" w:cs="Calibri" w:hAnsi="Calibri"/>
      <w:kern w:val="2"/>
      <w:sz w:val="21"/>
      <w:szCs w:val="21"/>
      <w:lang w:val="en-US" w:eastAsia="zh-CN" w:bidi="ar-SA"/>
    </w:rPr>
  </w:style>
  <w:style w:type="paragraph" w:customStyle="1" w:styleId="258">
    <w:name w:val="样式 228 10 磅"/>
    <w:pPr>
      <w:widowControl w:val="0"/>
      <w:jc w:val="both"/>
    </w:pPr>
    <w:rPr>
      <w:rFonts w:ascii="Calibri" w:eastAsia="宋体" w:cs="Calibri" w:hAnsi="Calibri"/>
      <w:kern w:val="2"/>
      <w:sz w:val="21"/>
      <w:szCs w:val="21"/>
      <w:lang w:val="en-US" w:eastAsia="zh-CN" w:bidi="ar-SA"/>
    </w:rPr>
  </w:style>
  <w:style w:type="paragraph" w:customStyle="1" w:styleId="259">
    <w:name w:val="样式 229 10 磅"/>
    <w:pPr>
      <w:widowControl w:val="0"/>
      <w:jc w:val="both"/>
    </w:pPr>
    <w:rPr>
      <w:rFonts w:ascii="Calibri" w:eastAsia="宋体" w:cs="Calibri" w:hAnsi="Calibri"/>
      <w:kern w:val="2"/>
      <w:sz w:val="21"/>
      <w:szCs w:val="21"/>
      <w:lang w:val="en-US" w:eastAsia="zh-CN" w:bidi="ar-SA"/>
    </w:rPr>
  </w:style>
  <w:style w:type="paragraph" w:customStyle="1" w:styleId="260">
    <w:name w:val="样式 230 10 磅"/>
    <w:pPr>
      <w:widowControl w:val="0"/>
      <w:jc w:val="both"/>
    </w:pPr>
    <w:rPr>
      <w:rFonts w:ascii="Calibri" w:eastAsia="宋体" w:cs="Calibri" w:hAnsi="Calibri"/>
      <w:kern w:val="2"/>
      <w:sz w:val="21"/>
      <w:szCs w:val="21"/>
      <w:lang w:val="en-US" w:eastAsia="zh-CN" w:bidi="ar-SA"/>
    </w:rPr>
  </w:style>
  <w:style w:type="paragraph" w:customStyle="1" w:styleId="261">
    <w:name w:val="样式 231 10 磅"/>
    <w:pPr>
      <w:widowControl w:val="0"/>
      <w:jc w:val="both"/>
    </w:pPr>
    <w:rPr>
      <w:rFonts w:ascii="Calibri" w:eastAsia="宋体" w:cs="Calibri" w:hAnsi="Calibri"/>
      <w:kern w:val="2"/>
      <w:sz w:val="21"/>
      <w:szCs w:val="21"/>
      <w:lang w:val="en-US" w:eastAsia="zh-CN" w:bidi="ar-SA"/>
    </w:rPr>
  </w:style>
  <w:style w:type="paragraph" w:customStyle="1" w:styleId="262">
    <w:name w:val="样式 232 10 磅"/>
    <w:pPr>
      <w:widowControl w:val="0"/>
      <w:jc w:val="both"/>
    </w:pPr>
    <w:rPr>
      <w:rFonts w:ascii="Calibri" w:eastAsia="宋体" w:cs="Calibri" w:hAnsi="Calibri"/>
      <w:kern w:val="2"/>
      <w:sz w:val="21"/>
      <w:szCs w:val="21"/>
      <w:lang w:val="en-US" w:eastAsia="zh-CN" w:bidi="ar-SA"/>
    </w:rPr>
  </w:style>
  <w:style w:type="paragraph" w:customStyle="1" w:styleId="263">
    <w:name w:val="样式 233 10 磅"/>
    <w:pPr>
      <w:widowControl w:val="0"/>
      <w:jc w:val="both"/>
    </w:pPr>
    <w:rPr>
      <w:rFonts w:ascii="Calibri" w:eastAsia="宋体" w:cs="Calibri" w:hAnsi="Calibri"/>
      <w:kern w:val="2"/>
      <w:sz w:val="21"/>
      <w:szCs w:val="21"/>
      <w:lang w:val="en-US" w:eastAsia="zh-CN" w:bidi="ar-SA"/>
    </w:rPr>
  </w:style>
  <w:style w:type="paragraph" w:customStyle="1" w:styleId="264">
    <w:name w:val="样式 234 10 磅"/>
    <w:pPr>
      <w:widowControl w:val="0"/>
      <w:jc w:val="both"/>
    </w:pPr>
    <w:rPr>
      <w:rFonts w:ascii="Calibri" w:eastAsia="宋体" w:cs="Calibri" w:hAnsi="Calibri"/>
      <w:kern w:val="2"/>
      <w:sz w:val="21"/>
      <w:szCs w:val="21"/>
      <w:lang w:val="en-US" w:eastAsia="zh-CN" w:bidi="ar-SA"/>
    </w:rPr>
  </w:style>
  <w:style w:type="paragraph" w:customStyle="1" w:styleId="265">
    <w:name w:val="样式 235 10 磅"/>
    <w:pPr>
      <w:widowControl w:val="0"/>
      <w:jc w:val="both"/>
    </w:pPr>
    <w:rPr>
      <w:rFonts w:ascii="Calibri" w:eastAsia="宋体" w:cs="Calibri" w:hAnsi="Calibri"/>
      <w:kern w:val="2"/>
      <w:sz w:val="21"/>
      <w:szCs w:val="21"/>
      <w:lang w:val="en-US" w:eastAsia="zh-CN" w:bidi="ar-SA"/>
    </w:rPr>
  </w:style>
  <w:style w:type="paragraph" w:customStyle="1" w:styleId="266">
    <w:name w:val="样式 236 10 磅"/>
    <w:pPr>
      <w:widowControl w:val="0"/>
      <w:jc w:val="both"/>
    </w:pPr>
    <w:rPr>
      <w:rFonts w:ascii="Calibri" w:eastAsia="宋体" w:cs="Calibri" w:hAnsi="Calibri"/>
      <w:kern w:val="2"/>
      <w:sz w:val="21"/>
      <w:szCs w:val="21"/>
      <w:lang w:val="en-US" w:eastAsia="zh-CN" w:bidi="ar-SA"/>
    </w:rPr>
  </w:style>
  <w:style w:type="paragraph" w:customStyle="1" w:styleId="267">
    <w:name w:val="样式 237 10 磅"/>
    <w:pPr>
      <w:widowControl w:val="0"/>
      <w:jc w:val="both"/>
    </w:pPr>
    <w:rPr>
      <w:rFonts w:ascii="Calibri" w:eastAsia="宋体" w:cs="Calibri" w:hAnsi="Calibri"/>
      <w:kern w:val="2"/>
      <w:sz w:val="21"/>
      <w:szCs w:val="21"/>
      <w:lang w:val="en-US" w:eastAsia="zh-CN" w:bidi="ar-SA"/>
    </w:rPr>
  </w:style>
  <w:style w:type="paragraph" w:customStyle="1" w:styleId="268">
    <w:name w:val="样式 238 10 磅"/>
    <w:pPr>
      <w:widowControl w:val="0"/>
      <w:jc w:val="both"/>
    </w:pPr>
    <w:rPr>
      <w:rFonts w:ascii="Calibri" w:eastAsia="宋体" w:cs="Calibri" w:hAnsi="Calibri"/>
      <w:kern w:val="2"/>
      <w:sz w:val="21"/>
      <w:szCs w:val="21"/>
      <w:lang w:val="en-US" w:eastAsia="zh-CN" w:bidi="ar-SA"/>
    </w:rPr>
  </w:style>
  <w:style w:type="paragraph" w:customStyle="1" w:styleId="269">
    <w:name w:val="样式 239 10 磅"/>
    <w:pPr>
      <w:widowControl w:val="0"/>
      <w:jc w:val="both"/>
    </w:pPr>
    <w:rPr>
      <w:rFonts w:ascii="Calibri" w:eastAsia="宋体" w:cs="Calibri" w:hAnsi="Calibri"/>
      <w:kern w:val="2"/>
      <w:sz w:val="21"/>
      <w:szCs w:val="21"/>
      <w:lang w:val="en-US" w:eastAsia="zh-CN" w:bidi="ar-SA"/>
    </w:rPr>
  </w:style>
  <w:style w:type="paragraph" w:customStyle="1" w:styleId="270">
    <w:name w:val="样式 240 10 磅"/>
    <w:pPr>
      <w:widowControl w:val="0"/>
      <w:jc w:val="both"/>
    </w:pPr>
    <w:rPr>
      <w:rFonts w:ascii="Calibri" w:eastAsia="宋体" w:cs="Calibri" w:hAnsi="Calibri"/>
      <w:kern w:val="2"/>
      <w:sz w:val="21"/>
      <w:szCs w:val="21"/>
      <w:lang w:val="en-US" w:eastAsia="zh-CN" w:bidi="ar-SA"/>
    </w:rPr>
  </w:style>
  <w:style w:type="paragraph" w:customStyle="1" w:styleId="271">
    <w:name w:val="样式 241 10 磅"/>
    <w:pPr>
      <w:widowControl w:val="0"/>
      <w:jc w:val="both"/>
    </w:pPr>
    <w:rPr>
      <w:rFonts w:ascii="Calibri" w:eastAsia="宋体" w:cs="Calibri" w:hAnsi="Calibri"/>
      <w:kern w:val="2"/>
      <w:sz w:val="21"/>
      <w:szCs w:val="21"/>
      <w:lang w:val="en-US" w:eastAsia="zh-CN" w:bidi="ar-SA"/>
    </w:rPr>
  </w:style>
  <w:style w:type="paragraph" w:customStyle="1" w:styleId="272">
    <w:name w:val="样式 242 10 磅"/>
    <w:pPr>
      <w:widowControl w:val="0"/>
      <w:jc w:val="both"/>
    </w:pPr>
    <w:rPr>
      <w:rFonts w:ascii="Calibri" w:eastAsia="宋体" w:cs="Calibri" w:hAnsi="Calibri"/>
      <w:kern w:val="2"/>
      <w:sz w:val="21"/>
      <w:szCs w:val="21"/>
      <w:lang w:val="en-US" w:eastAsia="zh-CN" w:bidi="ar-SA"/>
    </w:rPr>
  </w:style>
  <w:style w:type="paragraph" w:customStyle="1" w:styleId="273">
    <w:name w:val="样式 243 10 磅"/>
    <w:pPr>
      <w:widowControl w:val="0"/>
      <w:jc w:val="both"/>
    </w:pPr>
    <w:rPr>
      <w:rFonts w:ascii="Calibri" w:eastAsia="宋体" w:cs="Calibri" w:hAnsi="Calibri"/>
      <w:kern w:val="2"/>
      <w:sz w:val="21"/>
      <w:szCs w:val="21"/>
      <w:lang w:val="en-US" w:eastAsia="zh-CN" w:bidi="ar-SA"/>
    </w:rPr>
  </w:style>
  <w:style w:type="paragraph" w:customStyle="1" w:styleId="274">
    <w:name w:val="样式 244 10 磅"/>
    <w:pPr>
      <w:widowControl w:val="0"/>
      <w:jc w:val="both"/>
    </w:pPr>
    <w:rPr>
      <w:rFonts w:ascii="Calibri" w:eastAsia="宋体" w:cs="Calibri" w:hAnsi="Calibri"/>
      <w:kern w:val="2"/>
      <w:sz w:val="21"/>
      <w:szCs w:val="21"/>
      <w:lang w:val="en-US" w:eastAsia="zh-CN" w:bidi="ar-SA"/>
    </w:rPr>
  </w:style>
  <w:style w:type="paragraph" w:customStyle="1" w:styleId="275">
    <w:name w:val="样式 245 10 磅"/>
    <w:pPr>
      <w:widowControl w:val="0"/>
      <w:jc w:val="both"/>
    </w:pPr>
    <w:rPr>
      <w:rFonts w:ascii="Calibri" w:eastAsia="宋体" w:cs="Calibri" w:hAnsi="Calibri"/>
      <w:kern w:val="2"/>
      <w:sz w:val="21"/>
      <w:szCs w:val="21"/>
      <w:lang w:val="en-US" w:eastAsia="zh-CN" w:bidi="ar-SA"/>
    </w:rPr>
  </w:style>
  <w:style w:type="paragraph" w:customStyle="1" w:styleId="276">
    <w:name w:val="样式 246 10 磅"/>
    <w:pPr>
      <w:widowControl w:val="0"/>
      <w:jc w:val="both"/>
    </w:pPr>
    <w:rPr>
      <w:rFonts w:ascii="Calibri" w:eastAsia="宋体" w:cs="Calibri" w:hAnsi="Calibri"/>
      <w:kern w:val="2"/>
      <w:sz w:val="21"/>
      <w:szCs w:val="21"/>
      <w:lang w:val="en-US" w:eastAsia="zh-CN" w:bidi="ar-SA"/>
    </w:rPr>
  </w:style>
  <w:style w:type="paragraph" w:customStyle="1" w:styleId="277">
    <w:name w:val="样式 247 10 磅"/>
    <w:pPr>
      <w:widowControl w:val="0"/>
      <w:jc w:val="both"/>
    </w:pPr>
    <w:rPr>
      <w:rFonts w:ascii="Calibri" w:eastAsia="宋体" w:cs="Calibri" w:hAnsi="Calibri"/>
      <w:kern w:val="2"/>
      <w:sz w:val="21"/>
      <w:szCs w:val="21"/>
      <w:lang w:val="en-US" w:eastAsia="zh-CN" w:bidi="ar-SA"/>
    </w:rPr>
  </w:style>
  <w:style w:type="paragraph" w:customStyle="1" w:styleId="278">
    <w:name w:val="样式 248 10 磅"/>
    <w:pPr>
      <w:widowControl w:val="0"/>
      <w:jc w:val="both"/>
    </w:pPr>
    <w:rPr>
      <w:rFonts w:ascii="Calibri" w:eastAsia="宋体" w:cs="Calibri" w:hAnsi="Calibri"/>
      <w:kern w:val="2"/>
      <w:sz w:val="21"/>
      <w:szCs w:val="21"/>
      <w:lang w:val="en-US" w:eastAsia="zh-CN" w:bidi="ar-SA"/>
    </w:rPr>
  </w:style>
  <w:style w:type="paragraph" w:customStyle="1" w:styleId="279">
    <w:name w:val="样式 249 10 磅"/>
    <w:pPr>
      <w:widowControl w:val="0"/>
      <w:jc w:val="both"/>
    </w:pPr>
    <w:rPr>
      <w:rFonts w:ascii="Calibri" w:eastAsia="宋体" w:cs="Calibri" w:hAnsi="Calibri"/>
      <w:kern w:val="2"/>
      <w:sz w:val="21"/>
      <w:szCs w:val="21"/>
      <w:lang w:val="en-US" w:eastAsia="zh-CN" w:bidi="ar-SA"/>
    </w:rPr>
  </w:style>
  <w:style w:type="paragraph" w:customStyle="1" w:styleId="280">
    <w:name w:val="样式 250 10 磅"/>
    <w:pPr>
      <w:widowControl w:val="0"/>
      <w:jc w:val="both"/>
    </w:pPr>
    <w:rPr>
      <w:rFonts w:ascii="Calibri" w:eastAsia="宋体" w:cs="Calibri" w:hAnsi="Calibri"/>
      <w:kern w:val="2"/>
      <w:sz w:val="21"/>
      <w:szCs w:val="21"/>
      <w:lang w:val="en-US" w:eastAsia="zh-CN" w:bidi="ar-SA"/>
    </w:rPr>
  </w:style>
  <w:style w:type="paragraph" w:customStyle="1" w:styleId="281">
    <w:name w:val="样式 251 10 磅"/>
    <w:pPr>
      <w:widowControl w:val="0"/>
      <w:jc w:val="both"/>
    </w:pPr>
    <w:rPr>
      <w:rFonts w:ascii="Calibri" w:eastAsia="宋体" w:cs="Calibri" w:hAnsi="Calibri"/>
      <w:kern w:val="2"/>
      <w:sz w:val="21"/>
      <w:szCs w:val="21"/>
      <w:lang w:val="en-US" w:eastAsia="zh-CN" w:bidi="ar-SA"/>
    </w:rPr>
  </w:style>
  <w:style w:type="paragraph" w:customStyle="1" w:styleId="282">
    <w:name w:val="样式 252 10 磅"/>
    <w:pPr>
      <w:widowControl w:val="0"/>
      <w:jc w:val="both"/>
    </w:pPr>
    <w:rPr>
      <w:rFonts w:ascii="Calibri" w:eastAsia="宋体" w:cs="Calibri" w:hAnsi="Calibri"/>
      <w:kern w:val="2"/>
      <w:sz w:val="21"/>
      <w:szCs w:val="21"/>
      <w:lang w:val="en-US" w:eastAsia="zh-CN" w:bidi="ar-SA"/>
    </w:rPr>
  </w:style>
  <w:style w:type="paragraph" w:customStyle="1" w:styleId="283">
    <w:name w:val="样式 253 10 磅"/>
    <w:pPr>
      <w:widowControl w:val="0"/>
      <w:jc w:val="both"/>
    </w:pPr>
    <w:rPr>
      <w:rFonts w:ascii="Calibri" w:eastAsia="宋体" w:cs="Calibri" w:hAnsi="Calibri"/>
      <w:kern w:val="2"/>
      <w:sz w:val="21"/>
      <w:szCs w:val="21"/>
      <w:lang w:val="en-US" w:eastAsia="zh-CN" w:bidi="ar-SA"/>
    </w:rPr>
  </w:style>
  <w:style w:type="paragraph" w:customStyle="1" w:styleId="284">
    <w:name w:val="样式 254 10 磅"/>
    <w:pPr>
      <w:widowControl w:val="0"/>
      <w:jc w:val="both"/>
    </w:pPr>
    <w:rPr>
      <w:rFonts w:ascii="Calibri" w:eastAsia="宋体" w:cs="Calibri" w:hAnsi="Calibri"/>
      <w:kern w:val="2"/>
      <w:sz w:val="21"/>
      <w:szCs w:val="21"/>
      <w:lang w:val="en-US" w:eastAsia="zh-CN" w:bidi="ar-SA"/>
    </w:rPr>
  </w:style>
  <w:style w:type="paragraph" w:customStyle="1" w:styleId="285">
    <w:name w:val="样式 255 10 磅"/>
    <w:pPr>
      <w:widowControl w:val="0"/>
      <w:jc w:val="both"/>
    </w:pPr>
    <w:rPr>
      <w:rFonts w:ascii="Calibri" w:eastAsia="宋体" w:cs="Calibri" w:hAnsi="Calibri"/>
      <w:kern w:val="2"/>
      <w:sz w:val="21"/>
      <w:szCs w:val="21"/>
      <w:lang w:val="en-US" w:eastAsia="zh-CN" w:bidi="ar-SA"/>
    </w:rPr>
  </w:style>
  <w:style w:type="paragraph" w:customStyle="1" w:styleId="286">
    <w:name w:val="样式 256 10 磅"/>
    <w:pPr>
      <w:widowControl w:val="0"/>
      <w:jc w:val="both"/>
    </w:pPr>
    <w:rPr>
      <w:rFonts w:ascii="Calibri" w:eastAsia="宋体" w:cs="Calibri" w:hAnsi="Calibri"/>
      <w:kern w:val="2"/>
      <w:sz w:val="21"/>
      <w:szCs w:val="21"/>
      <w:lang w:val="en-US" w:eastAsia="zh-CN" w:bidi="ar-SA"/>
    </w:rPr>
  </w:style>
  <w:style w:type="paragraph" w:customStyle="1" w:styleId="287">
    <w:name w:val="样式 257 10 磅"/>
    <w:pPr>
      <w:widowControl w:val="0"/>
      <w:jc w:val="both"/>
    </w:pPr>
    <w:rPr>
      <w:rFonts w:ascii="Calibri" w:eastAsia="宋体" w:cs="Calibri" w:hAnsi="Calibri"/>
      <w:kern w:val="2"/>
      <w:sz w:val="21"/>
      <w:szCs w:val="21"/>
      <w:lang w:val="en-US" w:eastAsia="zh-CN" w:bidi="ar-SA"/>
    </w:rPr>
  </w:style>
  <w:style w:type="paragraph" w:customStyle="1" w:styleId="288">
    <w:name w:val="样式 258 10 磅"/>
    <w:pPr>
      <w:widowControl w:val="0"/>
      <w:jc w:val="both"/>
    </w:pPr>
    <w:rPr>
      <w:rFonts w:ascii="Calibri" w:eastAsia="宋体" w:cs="Calibri" w:hAnsi="Calibri"/>
      <w:kern w:val="2"/>
      <w:sz w:val="21"/>
      <w:szCs w:val="21"/>
      <w:lang w:val="en-US" w:eastAsia="zh-CN" w:bidi="ar-SA"/>
    </w:rPr>
  </w:style>
  <w:style w:type="paragraph" w:customStyle="1" w:styleId="289">
    <w:name w:val="样式 259 10 磅"/>
    <w:pPr>
      <w:widowControl w:val="0"/>
      <w:jc w:val="both"/>
    </w:pPr>
    <w:rPr>
      <w:rFonts w:ascii="Calibri" w:eastAsia="宋体" w:cs="Calibri" w:hAnsi="Calibri"/>
      <w:kern w:val="2"/>
      <w:sz w:val="21"/>
      <w:szCs w:val="21"/>
      <w:lang w:val="en-US" w:eastAsia="zh-CN" w:bidi="ar-SA"/>
    </w:rPr>
  </w:style>
  <w:style w:type="paragraph" w:customStyle="1" w:styleId="290">
    <w:name w:val="样式 260 10 磅"/>
    <w:pPr>
      <w:widowControl w:val="0"/>
      <w:jc w:val="both"/>
    </w:pPr>
    <w:rPr>
      <w:rFonts w:ascii="Calibri" w:eastAsia="宋体" w:cs="Calibri" w:hAnsi="Calibri"/>
      <w:kern w:val="2"/>
      <w:sz w:val="21"/>
      <w:szCs w:val="21"/>
      <w:lang w:val="en-US" w:eastAsia="zh-CN" w:bidi="ar-SA"/>
    </w:rPr>
  </w:style>
  <w:style w:type="paragraph" w:customStyle="1" w:styleId="291">
    <w:name w:val="样式 261 10 磅"/>
    <w:pPr>
      <w:widowControl w:val="0"/>
      <w:jc w:val="both"/>
    </w:pPr>
    <w:rPr>
      <w:rFonts w:ascii="Calibri" w:eastAsia="宋体" w:cs="Calibri" w:hAnsi="Calibri"/>
      <w:kern w:val="2"/>
      <w:sz w:val="21"/>
      <w:szCs w:val="21"/>
      <w:lang w:val="en-US" w:eastAsia="zh-CN" w:bidi="ar-SA"/>
    </w:rPr>
  </w:style>
  <w:style w:type="paragraph" w:customStyle="1" w:styleId="292">
    <w:name w:val="样式 262 10 磅"/>
    <w:pPr>
      <w:widowControl w:val="0"/>
      <w:jc w:val="both"/>
    </w:pPr>
    <w:rPr>
      <w:rFonts w:ascii="Calibri" w:eastAsia="宋体" w:cs="Calibri" w:hAnsi="Calibri"/>
      <w:kern w:val="2"/>
      <w:sz w:val="21"/>
      <w:szCs w:val="21"/>
      <w:lang w:val="en-US" w:eastAsia="zh-CN" w:bidi="ar-SA"/>
    </w:rPr>
  </w:style>
  <w:style w:type="paragraph" w:customStyle="1" w:styleId="293">
    <w:name w:val="样式 263 10 磅"/>
    <w:pPr>
      <w:widowControl w:val="0"/>
      <w:jc w:val="both"/>
    </w:pPr>
    <w:rPr>
      <w:rFonts w:ascii="Calibri" w:eastAsia="宋体" w:cs="Calibri" w:hAnsi="Calibri"/>
      <w:kern w:val="2"/>
      <w:sz w:val="21"/>
      <w:szCs w:val="21"/>
      <w:lang w:val="en-US" w:eastAsia="zh-CN" w:bidi="ar-SA"/>
    </w:rPr>
  </w:style>
  <w:style w:type="paragraph" w:customStyle="1" w:styleId="294">
    <w:name w:val="样式 264 10 磅"/>
    <w:pPr>
      <w:widowControl w:val="0"/>
      <w:jc w:val="both"/>
    </w:pPr>
    <w:rPr>
      <w:rFonts w:ascii="Calibri" w:eastAsia="宋体" w:cs="Calibri" w:hAnsi="Calibri"/>
      <w:kern w:val="2"/>
      <w:sz w:val="21"/>
      <w:szCs w:val="21"/>
      <w:lang w:val="en-US" w:eastAsia="zh-CN" w:bidi="ar-SA"/>
    </w:rPr>
  </w:style>
  <w:style w:type="paragraph" w:customStyle="1" w:styleId="295">
    <w:name w:val="样式 265 10 磅"/>
    <w:pPr>
      <w:widowControl w:val="0"/>
      <w:jc w:val="both"/>
    </w:pPr>
    <w:rPr>
      <w:rFonts w:ascii="Calibri" w:eastAsia="宋体" w:cs="Calibri" w:hAnsi="Calibri"/>
      <w:kern w:val="2"/>
      <w:sz w:val="21"/>
      <w:szCs w:val="21"/>
      <w:lang w:val="en-US" w:eastAsia="zh-CN" w:bidi="ar-SA"/>
    </w:rPr>
  </w:style>
  <w:style w:type="paragraph" w:customStyle="1" w:styleId="296">
    <w:name w:val="样式 266 10 磅"/>
    <w:pPr>
      <w:widowControl w:val="0"/>
      <w:jc w:val="both"/>
    </w:pPr>
    <w:rPr>
      <w:rFonts w:ascii="Calibri" w:eastAsia="宋体" w:cs="Calibri" w:hAnsi="Calibri"/>
      <w:kern w:val="2"/>
      <w:sz w:val="21"/>
      <w:szCs w:val="21"/>
      <w:lang w:val="en-US" w:eastAsia="zh-CN" w:bidi="ar-SA"/>
    </w:rPr>
  </w:style>
  <w:style w:type="paragraph" w:customStyle="1" w:styleId="297">
    <w:name w:val="样式 267 10 磅"/>
    <w:pPr>
      <w:widowControl w:val="0"/>
      <w:jc w:val="both"/>
    </w:pPr>
    <w:rPr>
      <w:rFonts w:ascii="Calibri" w:eastAsia="宋体" w:cs="Calibri" w:hAnsi="Calibri"/>
      <w:kern w:val="2"/>
      <w:sz w:val="21"/>
      <w:szCs w:val="21"/>
      <w:lang w:val="en-US" w:eastAsia="zh-CN" w:bidi="ar-SA"/>
    </w:rPr>
  </w:style>
  <w:style w:type="paragraph" w:customStyle="1" w:styleId="298">
    <w:name w:val="样式 268 10 磅"/>
    <w:pPr>
      <w:widowControl w:val="0"/>
      <w:jc w:val="both"/>
    </w:pPr>
    <w:rPr>
      <w:rFonts w:ascii="Calibri" w:eastAsia="宋体" w:cs="Calibri" w:hAnsi="Calibri"/>
      <w:kern w:val="2"/>
      <w:sz w:val="21"/>
      <w:szCs w:val="21"/>
      <w:lang w:val="en-US" w:eastAsia="zh-CN" w:bidi="ar-SA"/>
    </w:rPr>
  </w:style>
  <w:style w:type="paragraph" w:customStyle="1" w:styleId="299">
    <w:name w:val="样式 269 10 磅"/>
    <w:pPr>
      <w:widowControl w:val="0"/>
      <w:jc w:val="both"/>
    </w:pPr>
    <w:rPr>
      <w:rFonts w:ascii="Calibri" w:eastAsia="宋体" w:cs="Calibri" w:hAnsi="Calibri"/>
      <w:kern w:val="2"/>
      <w:sz w:val="21"/>
      <w:szCs w:val="21"/>
      <w:lang w:val="en-US" w:eastAsia="zh-CN" w:bidi="ar-SA"/>
    </w:rPr>
  </w:style>
  <w:style w:type="paragraph" w:customStyle="1" w:styleId="300">
    <w:name w:val="样式 270 10 磅"/>
    <w:pPr>
      <w:widowControl w:val="0"/>
      <w:jc w:val="both"/>
    </w:pPr>
    <w:rPr>
      <w:rFonts w:ascii="Calibri" w:eastAsia="宋体" w:cs="Calibri" w:hAnsi="Calibri"/>
      <w:kern w:val="2"/>
      <w:sz w:val="21"/>
      <w:szCs w:val="21"/>
      <w:lang w:val="en-US" w:eastAsia="zh-CN" w:bidi="ar-SA"/>
    </w:rPr>
  </w:style>
  <w:style w:type="paragraph" w:customStyle="1" w:styleId="301">
    <w:name w:val="样式 271 10 磅"/>
    <w:pPr>
      <w:widowControl w:val="0"/>
      <w:jc w:val="both"/>
    </w:pPr>
    <w:rPr>
      <w:rFonts w:ascii="Calibri" w:eastAsia="宋体" w:cs="Calibri" w:hAnsi="Calibri"/>
      <w:kern w:val="2"/>
      <w:sz w:val="21"/>
      <w:szCs w:val="21"/>
      <w:lang w:val="en-US" w:eastAsia="zh-CN" w:bidi="ar-SA"/>
    </w:rPr>
  </w:style>
  <w:style w:type="paragraph" w:customStyle="1" w:styleId="302">
    <w:name w:val="样式 272 10 磅"/>
    <w:pPr>
      <w:widowControl w:val="0"/>
      <w:jc w:val="both"/>
    </w:pPr>
    <w:rPr>
      <w:rFonts w:ascii="Calibri" w:eastAsia="宋体" w:cs="Calibri" w:hAnsi="Calibri"/>
      <w:kern w:val="2"/>
      <w:sz w:val="21"/>
      <w:szCs w:val="21"/>
      <w:lang w:val="en-US" w:eastAsia="zh-CN" w:bidi="ar-SA"/>
    </w:rPr>
  </w:style>
  <w:style w:type="paragraph" w:customStyle="1" w:styleId="303">
    <w:name w:val="样式 273 10 磅"/>
    <w:pPr>
      <w:widowControl w:val="0"/>
      <w:jc w:val="both"/>
    </w:pPr>
    <w:rPr>
      <w:rFonts w:ascii="Calibri" w:eastAsia="宋体" w:cs="Calibri" w:hAnsi="Calibri"/>
      <w:kern w:val="2"/>
      <w:sz w:val="21"/>
      <w:szCs w:val="21"/>
      <w:lang w:val="en-US" w:eastAsia="zh-CN" w:bidi="ar-SA"/>
    </w:rPr>
  </w:style>
  <w:style w:type="paragraph" w:customStyle="1" w:styleId="304">
    <w:name w:val="样式 274 10 磅"/>
    <w:pPr>
      <w:widowControl w:val="0"/>
      <w:jc w:val="both"/>
    </w:pPr>
    <w:rPr>
      <w:rFonts w:ascii="Calibri" w:eastAsia="宋体" w:cs="Calibri" w:hAnsi="Calibri"/>
      <w:kern w:val="2"/>
      <w:sz w:val="21"/>
      <w:szCs w:val="21"/>
      <w:lang w:val="en-US" w:eastAsia="zh-CN" w:bidi="ar-SA"/>
    </w:rPr>
  </w:style>
  <w:style w:type="paragraph" w:customStyle="1" w:styleId="305">
    <w:name w:val="样式 275 10 磅"/>
    <w:pPr>
      <w:widowControl w:val="0"/>
      <w:jc w:val="both"/>
    </w:pPr>
    <w:rPr>
      <w:rFonts w:ascii="Calibri" w:eastAsia="宋体" w:cs="Calibri" w:hAnsi="Calibri"/>
      <w:kern w:val="2"/>
      <w:sz w:val="21"/>
      <w:szCs w:val="21"/>
      <w:lang w:val="en-US" w:eastAsia="zh-CN" w:bidi="ar-SA"/>
    </w:rPr>
  </w:style>
  <w:style w:type="paragraph" w:customStyle="1" w:styleId="306">
    <w:name w:val="样式 276 10 磅"/>
    <w:pPr>
      <w:widowControl w:val="0"/>
      <w:jc w:val="both"/>
    </w:pPr>
    <w:rPr>
      <w:rFonts w:ascii="Calibri" w:eastAsia="宋体" w:cs="Calibri" w:hAnsi="Calibri"/>
      <w:kern w:val="2"/>
      <w:sz w:val="21"/>
      <w:szCs w:val="21"/>
      <w:lang w:val="en-US" w:eastAsia="zh-CN" w:bidi="ar-SA"/>
    </w:rPr>
  </w:style>
  <w:style w:type="paragraph" w:customStyle="1" w:styleId="307">
    <w:name w:val="样式 277 10 磅"/>
    <w:pPr>
      <w:widowControl w:val="0"/>
      <w:jc w:val="both"/>
    </w:pPr>
    <w:rPr>
      <w:rFonts w:ascii="Calibri" w:eastAsia="宋体" w:cs="Calibri" w:hAnsi="Calibri"/>
      <w:kern w:val="2"/>
      <w:sz w:val="21"/>
      <w:szCs w:val="21"/>
      <w:lang w:val="en-US" w:eastAsia="zh-CN" w:bidi="ar-SA"/>
    </w:rPr>
  </w:style>
  <w:style w:type="paragraph" w:customStyle="1" w:styleId="308">
    <w:name w:val="样式 278 10 磅"/>
    <w:pPr>
      <w:widowControl w:val="0"/>
      <w:jc w:val="both"/>
    </w:pPr>
    <w:rPr>
      <w:rFonts w:ascii="Calibri" w:eastAsia="宋体" w:cs="Calibri" w:hAnsi="Calibri"/>
      <w:kern w:val="2"/>
      <w:sz w:val="21"/>
      <w:szCs w:val="21"/>
      <w:lang w:val="en-US" w:eastAsia="zh-CN" w:bidi="ar-SA"/>
    </w:rPr>
  </w:style>
  <w:style w:type="paragraph" w:customStyle="1" w:styleId="309">
    <w:name w:val="样式 279 10 磅"/>
    <w:pPr>
      <w:widowControl w:val="0"/>
      <w:jc w:val="both"/>
    </w:pPr>
    <w:rPr>
      <w:rFonts w:ascii="Calibri" w:eastAsia="宋体" w:cs="Calibri" w:hAnsi="Calibri"/>
      <w:kern w:val="2"/>
      <w:sz w:val="21"/>
      <w:szCs w:val="21"/>
      <w:lang w:val="en-US" w:eastAsia="zh-CN" w:bidi="ar-SA"/>
    </w:rPr>
  </w:style>
  <w:style w:type="paragraph" w:customStyle="1" w:styleId="310">
    <w:name w:val="样式 280 10 磅"/>
    <w:pPr>
      <w:widowControl w:val="0"/>
      <w:jc w:val="both"/>
    </w:pPr>
    <w:rPr>
      <w:rFonts w:ascii="Calibri" w:eastAsia="宋体" w:cs="Calibri" w:hAnsi="Calibri"/>
      <w:kern w:val="2"/>
      <w:sz w:val="21"/>
      <w:szCs w:val="21"/>
      <w:lang w:val="en-US" w:eastAsia="zh-CN" w:bidi="ar-SA"/>
    </w:rPr>
  </w:style>
  <w:style w:type="paragraph" w:customStyle="1" w:styleId="311">
    <w:name w:val="样式 281 10 磅"/>
    <w:pPr>
      <w:widowControl w:val="0"/>
      <w:jc w:val="both"/>
    </w:pPr>
    <w:rPr>
      <w:rFonts w:ascii="Calibri" w:eastAsia="宋体" w:cs="Calibri" w:hAnsi="Calibri"/>
      <w:kern w:val="2"/>
      <w:sz w:val="21"/>
      <w:szCs w:val="21"/>
      <w:lang w:val="en-US" w:eastAsia="zh-CN" w:bidi="ar-SA"/>
    </w:rPr>
  </w:style>
  <w:style w:type="paragraph" w:customStyle="1" w:styleId="312">
    <w:name w:val="样式 282 10 磅"/>
    <w:pPr>
      <w:widowControl w:val="0"/>
      <w:jc w:val="both"/>
    </w:pPr>
    <w:rPr>
      <w:rFonts w:ascii="Calibri" w:eastAsia="宋体" w:cs="Calibri" w:hAnsi="Calibri"/>
      <w:kern w:val="2"/>
      <w:sz w:val="21"/>
      <w:szCs w:val="21"/>
      <w:lang w:val="en-US" w:eastAsia="zh-CN" w:bidi="ar-SA"/>
    </w:rPr>
  </w:style>
  <w:style w:type="paragraph" w:customStyle="1" w:styleId="313">
    <w:name w:val="样式 283 10 磅"/>
    <w:pPr>
      <w:widowControl w:val="0"/>
      <w:jc w:val="both"/>
    </w:pPr>
    <w:rPr>
      <w:rFonts w:ascii="Calibri" w:eastAsia="宋体" w:cs="Calibri" w:hAnsi="Calibri"/>
      <w:kern w:val="2"/>
      <w:sz w:val="21"/>
      <w:szCs w:val="21"/>
      <w:lang w:val="en-US" w:eastAsia="zh-CN" w:bidi="ar-SA"/>
    </w:rPr>
  </w:style>
  <w:style w:type="paragraph" w:customStyle="1" w:styleId="314">
    <w:name w:val="样式 284 10 磅"/>
    <w:pPr>
      <w:widowControl w:val="0"/>
      <w:jc w:val="both"/>
    </w:pPr>
    <w:rPr>
      <w:rFonts w:ascii="Calibri" w:eastAsia="宋体" w:cs="Calibri" w:hAnsi="Calibri"/>
      <w:kern w:val="2"/>
      <w:sz w:val="21"/>
      <w:szCs w:val="21"/>
      <w:lang w:val="en-US" w:eastAsia="zh-CN" w:bidi="ar-SA"/>
    </w:rPr>
  </w:style>
  <w:style w:type="paragraph" w:customStyle="1" w:styleId="315">
    <w:name w:val="样式 285 10 磅"/>
    <w:pPr>
      <w:widowControl w:val="0"/>
      <w:jc w:val="both"/>
    </w:pPr>
    <w:rPr>
      <w:rFonts w:ascii="Calibri" w:eastAsia="宋体" w:cs="Calibri" w:hAnsi="Calibri"/>
      <w:kern w:val="2"/>
      <w:sz w:val="21"/>
      <w:szCs w:val="21"/>
      <w:lang w:val="en-US" w:eastAsia="zh-CN" w:bidi="ar-SA"/>
    </w:rPr>
  </w:style>
  <w:style w:type="paragraph" w:customStyle="1" w:styleId="316">
    <w:name w:val="样式 286 10 磅"/>
    <w:pPr>
      <w:widowControl w:val="0"/>
      <w:jc w:val="both"/>
    </w:pPr>
    <w:rPr>
      <w:rFonts w:ascii="Calibri" w:eastAsia="宋体" w:cs="Calibri" w:hAnsi="Calibri"/>
      <w:kern w:val="2"/>
      <w:sz w:val="21"/>
      <w:szCs w:val="21"/>
      <w:lang w:val="en-US" w:eastAsia="zh-CN" w:bidi="ar-SA"/>
    </w:rPr>
  </w:style>
  <w:style w:type="paragraph" w:customStyle="1" w:styleId="317">
    <w:name w:val="样式 287 10 磅"/>
    <w:pPr>
      <w:widowControl w:val="0"/>
      <w:jc w:val="both"/>
    </w:pPr>
    <w:rPr>
      <w:rFonts w:ascii="Calibri" w:eastAsia="宋体" w:cs="Calibri" w:hAnsi="Calibri"/>
      <w:kern w:val="2"/>
      <w:sz w:val="21"/>
      <w:szCs w:val="21"/>
      <w:lang w:val="en-US" w:eastAsia="zh-CN" w:bidi="ar-SA"/>
    </w:rPr>
  </w:style>
  <w:style w:type="paragraph" w:customStyle="1" w:styleId="318">
    <w:name w:val="样式 288 10 磅"/>
    <w:pPr>
      <w:widowControl w:val="0"/>
      <w:jc w:val="both"/>
    </w:pPr>
    <w:rPr>
      <w:rFonts w:ascii="Calibri" w:eastAsia="宋体" w:cs="Calibri" w:hAnsi="Calibri"/>
      <w:kern w:val="2"/>
      <w:sz w:val="21"/>
      <w:szCs w:val="21"/>
      <w:lang w:val="en-US" w:eastAsia="zh-CN" w:bidi="ar-SA"/>
    </w:rPr>
  </w:style>
  <w:style w:type="paragraph" w:customStyle="1" w:styleId="319">
    <w:name w:val="样式 289 10 磅"/>
    <w:pPr>
      <w:widowControl w:val="0"/>
      <w:jc w:val="both"/>
    </w:pPr>
    <w:rPr>
      <w:rFonts w:ascii="Calibri" w:eastAsia="宋体" w:cs="Calibri" w:hAnsi="Calibri"/>
      <w:kern w:val="2"/>
      <w:sz w:val="21"/>
      <w:szCs w:val="21"/>
      <w:lang w:val="en-US" w:eastAsia="zh-CN" w:bidi="ar-SA"/>
    </w:rPr>
  </w:style>
  <w:style w:type="paragraph" w:customStyle="1" w:styleId="320">
    <w:name w:val="样式 290 10 磅"/>
    <w:pPr>
      <w:widowControl w:val="0"/>
      <w:jc w:val="both"/>
    </w:pPr>
    <w:rPr>
      <w:rFonts w:ascii="Calibri" w:eastAsia="宋体" w:cs="Calibri" w:hAnsi="Calibri"/>
      <w:kern w:val="2"/>
      <w:sz w:val="21"/>
      <w:szCs w:val="21"/>
      <w:lang w:val="en-US" w:eastAsia="zh-CN" w:bidi="ar-SA"/>
    </w:rPr>
  </w:style>
  <w:style w:type="paragraph" w:customStyle="1" w:styleId="321">
    <w:name w:val="样式 291 10 磅"/>
    <w:pPr>
      <w:widowControl w:val="0"/>
      <w:jc w:val="both"/>
    </w:pPr>
    <w:rPr>
      <w:rFonts w:ascii="Calibri" w:eastAsia="宋体" w:cs="Calibri" w:hAnsi="Calibri"/>
      <w:kern w:val="2"/>
      <w:sz w:val="21"/>
      <w:szCs w:val="21"/>
      <w:lang w:val="en-US" w:eastAsia="zh-CN" w:bidi="ar-SA"/>
    </w:rPr>
  </w:style>
  <w:style w:type="paragraph" w:customStyle="1" w:styleId="322">
    <w:name w:val="样式 292 10 磅"/>
    <w:pPr>
      <w:widowControl w:val="0"/>
      <w:jc w:val="both"/>
    </w:pPr>
    <w:rPr>
      <w:rFonts w:ascii="Calibri" w:eastAsia="宋体" w:cs="Calibri" w:hAnsi="Calibri"/>
      <w:kern w:val="2"/>
      <w:sz w:val="21"/>
      <w:szCs w:val="21"/>
      <w:lang w:val="en-US" w:eastAsia="zh-CN" w:bidi="ar-SA"/>
    </w:rPr>
  </w:style>
  <w:style w:type="paragraph" w:customStyle="1" w:styleId="323">
    <w:name w:val="样式 293 10 磅"/>
    <w:pPr>
      <w:widowControl w:val="0"/>
      <w:jc w:val="both"/>
    </w:pPr>
    <w:rPr>
      <w:rFonts w:ascii="Calibri" w:eastAsia="宋体" w:cs="Calibri" w:hAnsi="Calibri"/>
      <w:kern w:val="2"/>
      <w:sz w:val="21"/>
      <w:szCs w:val="21"/>
      <w:lang w:val="en-US" w:eastAsia="zh-CN" w:bidi="ar-SA"/>
    </w:rPr>
  </w:style>
  <w:style w:type="paragraph" w:customStyle="1" w:styleId="324">
    <w:name w:val="样式 294 10 磅"/>
    <w:pPr>
      <w:widowControl w:val="0"/>
      <w:jc w:val="both"/>
    </w:pPr>
    <w:rPr>
      <w:rFonts w:ascii="Calibri" w:eastAsia="宋体" w:cs="Calibri" w:hAnsi="Calibri"/>
      <w:kern w:val="2"/>
      <w:sz w:val="21"/>
      <w:szCs w:val="21"/>
      <w:lang w:val="en-US" w:eastAsia="zh-CN" w:bidi="ar-SA"/>
    </w:rPr>
  </w:style>
  <w:style w:type="paragraph" w:customStyle="1" w:styleId="325">
    <w:name w:val="样式 295 10 磅"/>
    <w:pPr>
      <w:widowControl w:val="0"/>
      <w:jc w:val="both"/>
    </w:pPr>
    <w:rPr>
      <w:rFonts w:ascii="Calibri" w:eastAsia="宋体" w:cs="Calibri" w:hAnsi="Calibri"/>
      <w:kern w:val="2"/>
      <w:sz w:val="21"/>
      <w:szCs w:val="21"/>
      <w:lang w:val="en-US" w:eastAsia="zh-CN" w:bidi="ar-SA"/>
    </w:rPr>
  </w:style>
  <w:style w:type="paragraph" w:customStyle="1" w:styleId="326">
    <w:name w:val="样式 296 10 磅"/>
    <w:pPr>
      <w:widowControl w:val="0"/>
      <w:jc w:val="both"/>
    </w:pPr>
    <w:rPr>
      <w:rFonts w:ascii="Calibri" w:eastAsia="宋体" w:cs="Calibri" w:hAnsi="Calibri"/>
      <w:kern w:val="2"/>
      <w:sz w:val="21"/>
      <w:szCs w:val="21"/>
      <w:lang w:val="en-US" w:eastAsia="zh-CN" w:bidi="ar-SA"/>
    </w:rPr>
  </w:style>
  <w:style w:type="paragraph" w:customStyle="1" w:styleId="327">
    <w:name w:val="样式 297 10 磅"/>
    <w:pPr>
      <w:widowControl w:val="0"/>
      <w:jc w:val="both"/>
    </w:pPr>
    <w:rPr>
      <w:rFonts w:ascii="Calibri" w:eastAsia="宋体" w:cs="Calibri" w:hAnsi="Calibri"/>
      <w:kern w:val="2"/>
      <w:sz w:val="21"/>
      <w:szCs w:val="21"/>
      <w:lang w:val="en-US" w:eastAsia="zh-CN" w:bidi="ar-SA"/>
    </w:rPr>
  </w:style>
  <w:style w:type="paragraph" w:customStyle="1" w:styleId="328">
    <w:name w:val="样式 298 10 磅"/>
    <w:pPr>
      <w:widowControl w:val="0"/>
      <w:jc w:val="both"/>
    </w:pPr>
    <w:rPr>
      <w:rFonts w:ascii="Calibri" w:eastAsia="宋体" w:cs="Calibri" w:hAnsi="Calibri"/>
      <w:kern w:val="2"/>
      <w:sz w:val="21"/>
      <w:szCs w:val="21"/>
      <w:lang w:val="en-US" w:eastAsia="zh-CN" w:bidi="ar-SA"/>
    </w:rPr>
  </w:style>
  <w:style w:type="paragraph" w:customStyle="1" w:styleId="329">
    <w:name w:val="样式 299 10 磅"/>
    <w:pPr>
      <w:widowControl w:val="0"/>
      <w:jc w:val="both"/>
    </w:pPr>
    <w:rPr>
      <w:rFonts w:ascii="Calibri" w:eastAsia="宋体" w:cs="Calibri" w:hAnsi="Calibri"/>
      <w:kern w:val="2"/>
      <w:sz w:val="21"/>
      <w:szCs w:val="21"/>
      <w:lang w:val="en-US" w:eastAsia="zh-CN" w:bidi="ar-SA"/>
    </w:rPr>
  </w:style>
  <w:style w:type="paragraph" w:customStyle="1" w:styleId="330">
    <w:name w:val="样式 300 10 磅"/>
    <w:pPr>
      <w:widowControl w:val="0"/>
      <w:jc w:val="both"/>
    </w:pPr>
    <w:rPr>
      <w:rFonts w:ascii="Calibri" w:eastAsia="宋体" w:cs="Calibri" w:hAnsi="Calibri"/>
      <w:kern w:val="2"/>
      <w:sz w:val="21"/>
      <w:szCs w:val="21"/>
      <w:lang w:val="en-US" w:eastAsia="zh-CN" w:bidi="ar-SA"/>
    </w:rPr>
  </w:style>
  <w:style w:type="paragraph" w:customStyle="1" w:styleId="331">
    <w:name w:val="样式 301 10 磅"/>
    <w:pPr>
      <w:widowControl w:val="0"/>
      <w:jc w:val="both"/>
    </w:pPr>
    <w:rPr>
      <w:rFonts w:ascii="Calibri" w:eastAsia="宋体" w:cs="Calibri" w:hAnsi="Calibri"/>
      <w:kern w:val="2"/>
      <w:sz w:val="21"/>
      <w:szCs w:val="21"/>
      <w:lang w:val="en-US" w:eastAsia="zh-CN" w:bidi="ar-SA"/>
    </w:rPr>
  </w:style>
  <w:style w:type="paragraph" w:customStyle="1" w:styleId="332">
    <w:name w:val="样式 302 10 磅"/>
    <w:pPr>
      <w:widowControl w:val="0"/>
      <w:jc w:val="both"/>
    </w:pPr>
    <w:rPr>
      <w:rFonts w:ascii="Calibri" w:eastAsia="宋体" w:cs="Calibri" w:hAnsi="Calibri"/>
      <w:kern w:val="2"/>
      <w:sz w:val="21"/>
      <w:szCs w:val="21"/>
      <w:lang w:val="en-US" w:eastAsia="zh-CN" w:bidi="ar-SA"/>
    </w:rPr>
  </w:style>
  <w:style w:type="paragraph" w:customStyle="1" w:styleId="333">
    <w:name w:val="样式 303 10 磅"/>
    <w:pPr>
      <w:widowControl w:val="0"/>
      <w:jc w:val="both"/>
    </w:pPr>
    <w:rPr>
      <w:rFonts w:ascii="Calibri" w:eastAsia="宋体" w:cs="Calibri" w:hAnsi="Calibri"/>
      <w:kern w:val="2"/>
      <w:sz w:val="21"/>
      <w:szCs w:val="21"/>
      <w:lang w:val="en-US" w:eastAsia="zh-CN" w:bidi="ar-SA"/>
    </w:rPr>
  </w:style>
  <w:style w:type="paragraph" w:customStyle="1" w:styleId="334">
    <w:name w:val="样式 304 10 磅"/>
    <w:pPr>
      <w:widowControl w:val="0"/>
      <w:jc w:val="both"/>
    </w:pPr>
    <w:rPr>
      <w:rFonts w:ascii="Calibri" w:eastAsia="宋体" w:cs="Calibri" w:hAnsi="Calibri"/>
      <w:kern w:val="2"/>
      <w:sz w:val="21"/>
      <w:szCs w:val="21"/>
      <w:lang w:val="en-US" w:eastAsia="zh-CN" w:bidi="ar-SA"/>
    </w:rPr>
  </w:style>
  <w:style w:type="paragraph" w:customStyle="1" w:styleId="335">
    <w:name w:val="样式 305 10 磅"/>
    <w:pPr>
      <w:widowControl w:val="0"/>
      <w:jc w:val="both"/>
    </w:pPr>
    <w:rPr>
      <w:rFonts w:ascii="Calibri" w:eastAsia="宋体" w:cs="Calibri" w:hAnsi="Calibri"/>
      <w:kern w:val="2"/>
      <w:sz w:val="21"/>
      <w:szCs w:val="21"/>
      <w:lang w:val="en-US" w:eastAsia="zh-CN" w:bidi="ar-SA"/>
    </w:rPr>
  </w:style>
  <w:style w:type="paragraph" w:customStyle="1" w:styleId="336">
    <w:name w:val="样式 306 10 磅"/>
    <w:pPr>
      <w:widowControl w:val="0"/>
      <w:jc w:val="both"/>
    </w:pPr>
    <w:rPr>
      <w:rFonts w:ascii="Calibri" w:eastAsia="宋体" w:cs="Calibri" w:hAnsi="Calibri"/>
      <w:kern w:val="2"/>
      <w:sz w:val="21"/>
      <w:szCs w:val="21"/>
      <w:lang w:val="en-US" w:eastAsia="zh-CN" w:bidi="ar-SA"/>
    </w:rPr>
  </w:style>
  <w:style w:type="paragraph" w:customStyle="1" w:styleId="337">
    <w:name w:val="样式 307 10 磅"/>
    <w:pPr>
      <w:widowControl w:val="0"/>
      <w:jc w:val="both"/>
    </w:pPr>
    <w:rPr>
      <w:rFonts w:ascii="Calibri" w:eastAsia="宋体" w:cs="Calibri" w:hAnsi="Calibri"/>
      <w:kern w:val="2"/>
      <w:sz w:val="21"/>
      <w:szCs w:val="21"/>
      <w:lang w:val="en-US" w:eastAsia="zh-CN" w:bidi="ar-SA"/>
    </w:rPr>
  </w:style>
  <w:style w:type="paragraph" w:customStyle="1" w:styleId="338">
    <w:name w:val="样式 308 10 磅"/>
    <w:pPr>
      <w:widowControl w:val="0"/>
      <w:jc w:val="both"/>
    </w:pPr>
    <w:rPr>
      <w:rFonts w:ascii="Calibri" w:eastAsia="宋体" w:cs="Calibri" w:hAnsi="Calibri"/>
      <w:kern w:val="2"/>
      <w:sz w:val="21"/>
      <w:szCs w:val="21"/>
      <w:lang w:val="en-US" w:eastAsia="zh-CN" w:bidi="ar-SA"/>
    </w:rPr>
  </w:style>
  <w:style w:type="paragraph" w:customStyle="1" w:styleId="339">
    <w:name w:val="样式 309 10 磅"/>
    <w:pPr>
      <w:widowControl w:val="0"/>
      <w:jc w:val="both"/>
    </w:pPr>
    <w:rPr>
      <w:rFonts w:ascii="Calibri" w:eastAsia="宋体" w:cs="Calibri" w:hAnsi="Calibri"/>
      <w:kern w:val="2"/>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2007</TotalTime>
  <Application>Yozo_Office</Application>
  <Pages>13</Pages>
  <Words>13162</Words>
  <Characters>14543</Characters>
  <Lines>388</Lines>
  <Paragraphs>180</Paragraphs>
  <CharactersWithSpaces>14665</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title>武汉海关关于发布境外技术性贸易措施风险信息的提示</dc:title>
  <dc:creator>曾繁</dc:creator>
  <cp:lastModifiedBy>汪绍文</cp:lastModifiedBy>
  <cp:revision>5</cp:revision>
  <dcterms:created xsi:type="dcterms:W3CDTF">2024-01-26T03:30:00Z</dcterms:created>
  <dcterms:modified xsi:type="dcterms:W3CDTF">2026-09-20T08:30:15Z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CF9849E3307943108F88771BECF146AD</vt:lpwstr>
  </property>
</Properties>
</file>