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ind w:firstLine="0"/>
      </w:pPr>
      <w:bookmarkStart w:id="0" w:name="_Hlk25540369"/>
      <w:bookmarkStart w:id="1" w:name="cogw__正文__file"/>
      <w:bookmarkStart w:id="2" w:name="_GoBack"/>
      <w:bookmarkEnd w:id="2"/>
    </w:p>
    <w:p>
      <w:pPr>
        <w:pStyle w:val="28"/>
        <w:ind w:left="0"/>
        <w:jc w:val="center"/>
        <w:textAlignment w:val="center"/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bidi="ar-SA"/>
        </w:rPr>
        <w:t>十堰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海关</w:t>
      </w:r>
      <w:r>
        <w:rPr>
          <w:rFonts w:eastAsia="方正小标宋_GBK"/>
          <w:color w:val="auto"/>
          <w:sz w:val="44"/>
          <w:szCs w:val="44"/>
          <w:lang w:bidi="ar-SA"/>
        </w:rPr>
        <w:t>2025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年政府信息公开工作年度报告</w:t>
      </w:r>
      <w:bookmarkEnd w:id="0"/>
    </w:p>
    <w:p>
      <w:pPr>
        <w:pStyle w:val="2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0"/>
        <w:jc w:val="both"/>
        <w:rPr>
          <w:rFonts w:ascii="楷体_GB2312" w:eastAsia="楷体_GB2312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</w:p>
    <w:p>
      <w:pPr>
        <w:pStyle w:val="2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29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方正仿宋_GBK" w:eastAsia="方正仿宋_GBK" w:cs="Arial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2025</w:t>
      </w:r>
      <w:r>
        <w:rPr>
          <w:rFonts w:ascii="方正仿宋_GBK" w:eastAsia="方正仿宋_GBK" w:cs="Arial"/>
          <w:sz w:val="32"/>
          <w:szCs w:val="32"/>
          <w:lang w:bidi="ar-SA"/>
        </w:rPr>
        <w:t>年，十堰海关坚持以习近平新时代中国特色社会主义思想为指导</w:t>
      </w:r>
      <w:r>
        <w:rPr>
          <w:rFonts w:ascii="方正仿宋_GBK" w:eastAsia="方正仿宋_GBK" w:cs="Arial" w:hint="eastAsia"/>
          <w:sz w:val="32"/>
          <w:szCs w:val="32"/>
        </w:rPr>
        <w:t>，</w:t>
      </w:r>
      <w:r>
        <w:rPr>
          <w:rFonts w:ascii="方正仿宋_GBK" w:eastAsia="方正仿宋_GBK" w:cs="Arial"/>
          <w:sz w:val="32"/>
          <w:szCs w:val="32"/>
        </w:rPr>
        <w:t>聚焦守国门、促发展职责使命，严格遵守</w:t>
      </w:r>
      <w:r>
        <w:rPr>
          <w:rFonts w:ascii="方正仿宋_GBK" w:eastAsia="方正仿宋_GBK" w:cs="Arial" w:hint="eastAsia"/>
          <w:sz w:val="32"/>
          <w:szCs w:val="32"/>
        </w:rPr>
        <w:t>《中华人民共和国政府信息公开条例》等有关法律法规，</w:t>
      </w:r>
      <w:r>
        <w:rPr>
          <w:rFonts w:ascii="方正仿宋_GBK" w:eastAsia="方正仿宋_GBK" w:cs="Arial"/>
          <w:sz w:val="32"/>
          <w:szCs w:val="32"/>
        </w:rPr>
        <w:t>依法依规做好关区政府信息公开工作，现将有关情况报告如下：</w:t>
      </w:r>
    </w:p>
    <w:p>
      <w:pPr>
        <w:pStyle w:val="228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方正楷体_GBK" w:eastAsia="方正楷体_GBK" w:cs="Arial" w:hint="eastAsia"/>
          <w:b/>
          <w:bCs/>
          <w:sz w:val="32"/>
          <w:szCs w:val="32"/>
          <w:lang w:bidi="ar-SA"/>
        </w:rPr>
      </w:pPr>
      <w:r>
        <w:rPr>
          <w:rFonts w:ascii="方正楷体_GBK" w:eastAsia="方正楷体_GBK" w:cs="Arial" w:hint="eastAsia"/>
          <w:b/>
          <w:bCs/>
          <w:sz w:val="32"/>
          <w:szCs w:val="32"/>
          <w:lang w:bidi="ar-SA"/>
        </w:rPr>
        <w:t>（一）</w:t>
      </w:r>
      <w:r>
        <w:rPr>
          <w:rFonts w:ascii="方正楷体_GBK" w:eastAsia="方正楷体_GBK" w:cs="Arial"/>
          <w:b/>
          <w:bCs/>
          <w:sz w:val="32"/>
          <w:szCs w:val="32"/>
          <w:lang w:bidi="ar-SA"/>
        </w:rPr>
        <w:t>多维发力</w:t>
      </w:r>
      <w:r>
        <w:rPr>
          <w:rFonts w:ascii="方正楷体_GBK" w:eastAsia="方正楷体_GBK" w:cs="Arial" w:hint="eastAsia"/>
          <w:b/>
          <w:bCs/>
          <w:sz w:val="32"/>
          <w:szCs w:val="32"/>
          <w:lang w:bidi="ar-SA"/>
        </w:rPr>
        <w:t>，</w:t>
      </w:r>
      <w:r>
        <w:rPr>
          <w:rFonts w:ascii="方正楷体_GBK" w:eastAsia="方正楷体_GBK" w:cs="Arial"/>
          <w:b/>
          <w:bCs/>
          <w:sz w:val="32"/>
          <w:szCs w:val="32"/>
          <w:lang w:bidi="ar-SA"/>
        </w:rPr>
        <w:t>提升信息公开实效性</w:t>
      </w:r>
      <w:r>
        <w:rPr>
          <w:rFonts w:ascii="方正楷体_GBK" w:eastAsia="方正楷体_GBK" w:cs="Arial" w:hint="eastAsia"/>
          <w:b/>
          <w:bCs/>
          <w:sz w:val="32"/>
          <w:szCs w:val="32"/>
          <w:lang w:bidi="ar-SA"/>
        </w:rPr>
        <w:t>。</w:t>
      </w:r>
    </w:p>
    <w:p>
      <w:pPr>
        <w:pStyle w:val="232"/>
        <w:adjustRightInd w:val="0"/>
        <w:snapToGrid w:val="0"/>
        <w:ind w:firstLineChars="200" w:firstLine="624"/>
        <w:rPr>
          <w:szCs w:val="32"/>
        </w:rPr>
      </w:pPr>
      <w:r>
        <w:rPr>
          <w:szCs w:val="32"/>
        </w:rPr>
        <w:t>坚持</w:t>
      </w:r>
      <w:r>
        <w:rPr>
          <w:rFonts w:hint="eastAsia"/>
          <w:szCs w:val="32"/>
        </w:rPr>
        <w:t>“</w:t>
      </w:r>
      <w:r>
        <w:rPr>
          <w:szCs w:val="32"/>
        </w:rPr>
        <w:t>公开透明、精准解读、服务群众</w:t>
      </w:r>
      <w:r>
        <w:rPr>
          <w:rFonts w:hint="eastAsia"/>
          <w:szCs w:val="32"/>
        </w:rPr>
        <w:t>”</w:t>
      </w:r>
      <w:r>
        <w:rPr>
          <w:szCs w:val="32"/>
        </w:rPr>
        <w:t>的目标，紧密围绕中心工作，</w:t>
      </w:r>
      <w:r>
        <w:rPr>
          <w:rFonts w:ascii="方正仿宋_GBK" w:eastAsia="方正仿宋_GBK" w:cs="Arial"/>
          <w:sz w:val="32"/>
          <w:szCs w:val="32"/>
          <w:lang w:bidi="ar-SA"/>
        </w:rPr>
        <w:t>聚焦企业和群众关注，细化公开内容，通过武汉海关门户网站主动公开</w:t>
      </w:r>
      <w:r>
        <w:rPr>
          <w:rFonts w:ascii="Times New Roman" w:eastAsia="方正仿宋_GBK" w:hAnsi="Times New Roman"/>
          <w:sz w:val="32"/>
          <w:szCs w:val="32"/>
          <w:lang w:bidi="ar-SA"/>
        </w:rPr>
        <w:t>各类政府信息20条，涉及属地查检结果、监管作业场所抽查等方面，</w:t>
      </w:r>
      <w:r>
        <w:rPr>
          <w:szCs w:val="32"/>
        </w:rPr>
        <w:t>公开范围</w:t>
      </w:r>
      <w:r>
        <w:rPr>
          <w:rFonts w:ascii="Times New Roman" w:eastAsia="方正仿宋_GBK" w:hAnsi="Times New Roman"/>
          <w:sz w:val="32"/>
          <w:szCs w:val="32"/>
          <w:lang w:bidi="ar-SA"/>
        </w:rPr>
        <w:t>进一步</w:t>
      </w:r>
      <w:r>
        <w:rPr>
          <w:szCs w:val="32"/>
        </w:rPr>
        <w:t>规范。首次参加总署政策解读起草工作，参加十堰市</w:t>
      </w:r>
      <w:r>
        <w:rPr>
          <w:rFonts w:hint="eastAsia"/>
          <w:szCs w:val="32"/>
        </w:rPr>
        <w:t>“</w:t>
      </w:r>
      <w:r>
        <w:rPr>
          <w:szCs w:val="32"/>
        </w:rPr>
        <w:t>决胜收官</w:t>
      </w:r>
      <w:r>
        <w:rPr>
          <w:rFonts w:hint="eastAsia"/>
          <w:szCs w:val="32"/>
        </w:rPr>
        <w:t>‘</w:t>
      </w:r>
      <w:r>
        <w:rPr>
          <w:szCs w:val="32"/>
        </w:rPr>
        <w:t>十四五</w:t>
      </w:r>
      <w:r>
        <w:rPr>
          <w:rFonts w:hint="eastAsia"/>
          <w:szCs w:val="32"/>
        </w:rPr>
        <w:t>’</w:t>
      </w:r>
      <w:r>
        <w:rPr>
          <w:szCs w:val="32"/>
        </w:rPr>
        <w:t xml:space="preserve"> 谋篇布局</w:t>
      </w:r>
      <w:r>
        <w:rPr>
          <w:rFonts w:hint="eastAsia"/>
          <w:szCs w:val="32"/>
        </w:rPr>
        <w:t>‘</w:t>
      </w:r>
      <w:r>
        <w:rPr>
          <w:szCs w:val="32"/>
        </w:rPr>
        <w:t>十五五</w:t>
      </w:r>
      <w:r>
        <w:rPr>
          <w:rFonts w:hint="eastAsia"/>
          <w:szCs w:val="32"/>
        </w:rPr>
        <w:t>’</w:t>
      </w:r>
      <w:r>
        <w:rPr>
          <w:szCs w:val="32"/>
        </w:rPr>
        <w:t>系列新闻发布会</w:t>
      </w:r>
      <w:r>
        <w:rPr>
          <w:rFonts w:hint="eastAsia"/>
          <w:szCs w:val="32"/>
        </w:rPr>
        <w:t>”</w:t>
      </w:r>
      <w:r>
        <w:rPr>
          <w:szCs w:val="32"/>
        </w:rPr>
        <w:t>，展示海关履职成效，政务公开平台不断拓宽。依托报关大厅现场政务公开栏主动公开机构概况、科室职能和海关咨询投诉、廉政举报渠道等信息，规范接听、答复业务咨询电话，及时妥善回应企业群众关切。</w:t>
      </w:r>
    </w:p>
    <w:p>
      <w:pPr>
        <w:pStyle w:val="228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方正楷体_GBK" w:eastAsia="方正楷体_GBK" w:cs="Arial" w:hint="eastAsia"/>
          <w:b/>
          <w:bCs/>
          <w:sz w:val="32"/>
          <w:szCs w:val="32"/>
        </w:rPr>
      </w:pPr>
      <w:r>
        <w:rPr>
          <w:rFonts w:ascii="方正楷体_GBK" w:eastAsia="方正楷体_GBK" w:cs="Arial" w:hint="eastAsia"/>
          <w:b/>
          <w:bCs/>
          <w:sz w:val="32"/>
          <w:szCs w:val="32"/>
        </w:rPr>
        <w:t>（二）精准高效，提高公开答复</w:t>
      </w:r>
      <w:r>
        <w:rPr>
          <w:rFonts w:ascii="方正楷体_GBK" w:eastAsia="方正楷体_GBK" w:cs="Arial"/>
          <w:b/>
          <w:bCs/>
          <w:sz w:val="32"/>
          <w:szCs w:val="32"/>
        </w:rPr>
        <w:t>专业</w:t>
      </w:r>
      <w:r>
        <w:rPr>
          <w:rFonts w:ascii="方正楷体_GBK" w:eastAsia="方正楷体_GBK" w:cs="Arial" w:hint="eastAsia"/>
          <w:b/>
          <w:bCs/>
          <w:sz w:val="32"/>
          <w:szCs w:val="32"/>
        </w:rPr>
        <w:t>性。</w:t>
      </w:r>
    </w:p>
    <w:p>
      <w:pPr>
        <w:pStyle w:val="235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Times New Roman" w:eastAsia="方正仿宋_GBK" w:hAnsi="Times New Roman"/>
          <w:b/>
          <w:bCs/>
          <w:sz w:val="32"/>
          <w:szCs w:val="32"/>
          <w:lang w:bidi="ar-SA"/>
        </w:rPr>
      </w:pPr>
      <w:r>
        <w:rPr>
          <w:rFonts w:ascii="方正仿宋_GBK" w:eastAsia="方正仿宋_GBK" w:cs="Arial"/>
          <w:sz w:val="32"/>
          <w:szCs w:val="32"/>
          <w:lang w:bidi="ar-SA"/>
        </w:rPr>
        <w:t>组织政务公开专题培训</w:t>
      </w:r>
      <w:r>
        <w:rPr>
          <w:rFonts w:ascii="Times New Roman" w:eastAsia="方正仿宋_GBK" w:hAnsi="Times New Roman"/>
          <w:sz w:val="32"/>
          <w:szCs w:val="32"/>
          <w:lang w:bidi="ar-SA"/>
        </w:rPr>
        <w:t>2</w:t>
      </w:r>
      <w:r>
        <w:rPr>
          <w:rFonts w:ascii="方正仿宋_GBK" w:eastAsia="方正仿宋_GBK" w:cs="Arial"/>
          <w:sz w:val="32"/>
          <w:szCs w:val="32"/>
          <w:lang w:bidi="ar-SA"/>
        </w:rPr>
        <w:t>次，集中开展《</w:t>
      </w:r>
      <w:r>
        <w:rPr>
          <w:rFonts w:ascii="方正仿宋_GBK" w:eastAsia="方正仿宋_GBK" w:cs="Arial" w:hint="eastAsia"/>
          <w:sz w:val="32"/>
          <w:szCs w:val="32"/>
        </w:rPr>
        <w:t>武汉海关政府信息公开工作实施办法》</w:t>
      </w:r>
      <w:r>
        <w:rPr>
          <w:rFonts w:ascii="方正仿宋_GBK" w:eastAsia="方正仿宋_GBK" w:cs="Arial"/>
          <w:sz w:val="32"/>
          <w:szCs w:val="32"/>
        </w:rPr>
        <w:t>（以下简称</w:t>
      </w:r>
      <w:r>
        <w:rPr>
          <w:rFonts w:ascii="方正仿宋_GBK" w:eastAsia="方正仿宋_GBK" w:cs="Arial" w:hint="eastAsia"/>
          <w:sz w:val="32"/>
          <w:szCs w:val="32"/>
        </w:rPr>
        <w:t>“</w:t>
      </w:r>
      <w:r>
        <w:rPr>
          <w:rFonts w:ascii="方正仿宋_GBK" w:eastAsia="方正仿宋_GBK" w:cs="Arial"/>
          <w:sz w:val="32"/>
          <w:szCs w:val="32"/>
        </w:rPr>
        <w:t>《办法》</w:t>
      </w:r>
      <w:r>
        <w:rPr>
          <w:rFonts w:ascii="方正仿宋_GBK" w:eastAsia="方正仿宋_GBK" w:cs="Arial" w:hint="eastAsia"/>
          <w:sz w:val="32"/>
          <w:szCs w:val="32"/>
        </w:rPr>
        <w:t>”</w:t>
      </w:r>
      <w:r>
        <w:rPr>
          <w:rFonts w:ascii="方正仿宋_GBK" w:eastAsia="方正仿宋_GBK" w:cs="Arial"/>
          <w:sz w:val="32"/>
          <w:szCs w:val="32"/>
        </w:rPr>
        <w:t>）</w:t>
      </w:r>
      <w:r>
        <w:rPr>
          <w:rFonts w:ascii="方正仿宋_GBK" w:eastAsia="方正仿宋_GBK" w:cs="Arial"/>
          <w:sz w:val="32"/>
          <w:szCs w:val="32"/>
          <w:lang w:bidi="ar-SA"/>
        </w:rPr>
        <w:t>专题学习</w:t>
      </w:r>
      <w:r>
        <w:rPr>
          <w:rFonts w:ascii="方正仿宋_GBK" w:eastAsia="方正仿宋_GBK" w:cs="Arial"/>
          <w:sz w:val="32"/>
          <w:szCs w:val="32"/>
        </w:rPr>
        <w:t>，公职律师围绕《中华人民共和国政府信息公开条例》进行专题授课解读，关区政务公开标准化、规范化水平不断提升。</w:t>
      </w:r>
      <w:r>
        <w:rPr>
          <w:rFonts w:ascii="Times New Roman" w:eastAsia="方正仿宋_GBK" w:hAnsi="Times New Roman"/>
          <w:sz w:val="32"/>
          <w:szCs w:val="32"/>
        </w:rPr>
        <w:t>2025</w:t>
      </w:r>
      <w:r>
        <w:rPr>
          <w:rFonts w:ascii="方正仿宋_GBK" w:eastAsia="方正仿宋_GBK" w:cs="Arial"/>
          <w:sz w:val="32"/>
          <w:szCs w:val="32"/>
        </w:rPr>
        <w:t>年共受理信息公开申请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方正仿宋_GBK" w:eastAsia="方正仿宋_GBK" w:cs="Arial"/>
          <w:sz w:val="32"/>
          <w:szCs w:val="32"/>
        </w:rPr>
        <w:t>件，为自然人申请，相关科室严格按照《办法》规定的程序和时限，依法依规进行办理，全年未发生因政府信息公开申请引发的行政复议与行政诉讼情事。</w:t>
      </w:r>
    </w:p>
    <w:p>
      <w:pPr>
        <w:pStyle w:val="228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方正楷体_GBK" w:eastAsia="方正楷体_GBK" w:cs="Arial" w:hint="eastAsia"/>
          <w:b/>
          <w:bCs/>
          <w:sz w:val="32"/>
          <w:szCs w:val="32"/>
        </w:rPr>
      </w:pPr>
      <w:r>
        <w:rPr>
          <w:rFonts w:ascii="方正楷体_GBK" w:eastAsia="方正楷体_GBK" w:cs="Arial" w:hint="eastAsia"/>
          <w:b/>
          <w:bCs/>
          <w:sz w:val="32"/>
          <w:szCs w:val="32"/>
          <w:lang w:bidi="ar-SA"/>
        </w:rPr>
        <w:t>（三）贴心服务，拓宽政民互动渠道。</w:t>
      </w:r>
    </w:p>
    <w:p>
      <w:pPr>
        <w:pStyle w:val="240"/>
        <w:adjustRightInd w:val="0"/>
        <w:snapToGrid w:val="0"/>
        <w:ind w:firstLineChars="200" w:firstLine="624"/>
        <w:rPr>
          <w:rFonts w:hint="eastAsia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常态化开展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“关长接待日”</w:t>
      </w:r>
      <w:r>
        <w:rPr>
          <w:rFonts w:ascii="Times New Roman" w:eastAsia="方正仿宋_GBK" w:hAnsi="Times New Roman"/>
          <w:sz w:val="32"/>
          <w:szCs w:val="32"/>
          <w:lang w:bidi="ar-SA"/>
        </w:rPr>
        <w:t>活动12次，</w:t>
      </w:r>
      <w:r>
        <w:rPr>
          <w:szCs w:val="32"/>
        </w:rPr>
        <w:t>通过企业座谈、政策宣讲会、实地调研、业务窗口宣传等方式，积极</w:t>
      </w:r>
      <w:r>
        <w:t>宣贯海关优化营商环境、促进跨境贸易便利化等改革措施</w:t>
      </w:r>
      <w:r>
        <w:rPr>
          <w:szCs w:val="32"/>
        </w:rPr>
        <w:t>，为企业提供适用范围、时限要求、享惠措施等全流程答疑解惑，推动政策落实，释放改革红利，提升企业群众获得感。</w:t>
      </w:r>
    </w:p>
    <w:p>
      <w:pPr>
        <w:pStyle w:val="228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方正仿宋_GBK" w:eastAsia="方正仿宋_GBK" w:cs="Arial"/>
          <w:b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9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6"/>
        <w:gridCol w:w="2212"/>
        <w:gridCol w:w="1962"/>
        <w:gridCol w:w="2185"/>
      </w:tblGrid>
      <w:tr>
        <w:trPr>
          <w:trHeight w:val="523"/>
        </w:trPr>
        <w:tc>
          <w:tcPr>
            <w:tcW w:w="91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14"/>
        </w:trPr>
        <w:tc>
          <w:tcPr>
            <w:tcW w:w="91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3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spacing w:line="24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2</w:t>
            </w:r>
          </w:p>
        </w:tc>
      </w:tr>
      <w:tr>
        <w:trPr>
          <w:trHeight w:val="523"/>
        </w:trPr>
        <w:tc>
          <w:tcPr>
            <w:tcW w:w="91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3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spacing w:line="24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6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24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523"/>
        </w:trPr>
        <w:tc>
          <w:tcPr>
            <w:tcW w:w="91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368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spacing w:line="24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41"/>
        <w:tabs>
          <w:tab w:val="center" w:pos="4153"/>
          <w:tab w:val="right" w:pos="8306"/>
        </w:tabs>
        <w:adjustRightInd/>
        <w:snapToGrid w:val="0"/>
        <w:contextualSpacing w:val="0"/>
      </w:pPr>
    </w:p>
    <w:p>
      <w:pPr>
        <w:pStyle w:val="42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940"/>
        <w:gridCol w:w="2681"/>
        <w:gridCol w:w="638"/>
        <w:gridCol w:w="668"/>
        <w:gridCol w:w="763"/>
        <w:gridCol w:w="768"/>
        <w:gridCol w:w="768"/>
        <w:gridCol w:w="499"/>
        <w:gridCol w:w="685"/>
      </w:tblGrid>
      <w:tr>
        <w:trPr>
          <w:trHeight w:val="470"/>
          <w:tblHeader/>
        </w:trPr>
        <w:tc>
          <w:tcPr>
            <w:tcW w:w="43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8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rHeight w:val="470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81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spacing w:line="200" w:lineRule="exac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rPr>
          <w:trHeight w:val="470"/>
        </w:trPr>
        <w:tc>
          <w:tcPr>
            <w:tcW w:w="431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>
        <w:trPr>
          <w:trHeight w:val="470"/>
        </w:trPr>
        <w:tc>
          <w:tcPr>
            <w:tcW w:w="431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7"/>
              <w:jc w:val="center"/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1412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1883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941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613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1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2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>
        <w:trPr>
          <w:trHeight w:val="47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>
        <w:trPr>
          <w:trHeight w:val="470"/>
        </w:trPr>
        <w:tc>
          <w:tcPr>
            <w:tcW w:w="431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6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8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</w:tbl>
    <w:p>
      <w:pPr>
        <w:pStyle w:val="42"/>
        <w:widowControl/>
        <w:shd w:val="clear" w:color="auto" w:fill="FFFFFF"/>
        <w:spacing w:beforeLines="50" w:before="218" w:beforeAutospacing="0" w:after="120" w:afterAutospacing="0" w:line="560" w:lineRule="exact"/>
        <w:ind w:left="0" w:firstLineChars="200" w:firstLine="640"/>
        <w:jc w:val="both"/>
        <w:rPr>
          <w:rFonts w:ascii="宋体" w:cs="宋体" w:hint="eastAsia"/>
          <w:color w:val="auto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</w:tbl>
    <w:p>
      <w:pPr>
        <w:pStyle w:val="27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219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eastAsia="方正楷体_GBK"/>
          <w:b/>
          <w:bCs/>
        </w:rPr>
        <w:t>2024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>
      <w:pPr>
        <w:pStyle w:val="229"/>
        <w:adjustRightInd w:val="0"/>
        <w:snapToGrid w:val="0"/>
        <w:ind w:firstLineChars="200" w:firstLine="624"/>
      </w:pPr>
      <w:r>
        <w:rPr>
          <w:rFonts w:ascii="方正仿宋_GBK" w:hint="eastAsia"/>
          <w:b/>
          <w:bCs/>
        </w:rPr>
        <w:t>问题：</w:t>
      </w:r>
      <w:r>
        <w:t>政府信息公开专业化人才培养有所欠缺。</w:t>
      </w:r>
    </w:p>
    <w:p>
      <w:pPr>
        <w:pStyle w:val="219"/>
        <w:adjustRightInd w:val="0"/>
        <w:snapToGrid w:val="0"/>
        <w:ind w:firstLineChars="200" w:firstLine="624"/>
        <w:rPr>
          <w:rFonts w:ascii="方正仿宋_GBK" w:eastAsia="方正仿宋_GBK" w:cs="Arial"/>
          <w:sz w:val="32"/>
          <w:szCs w:val="32"/>
        </w:rPr>
      </w:pPr>
      <w:r>
        <w:rPr>
          <w:b/>
          <w:bCs/>
        </w:rPr>
        <w:t>整改情况：</w:t>
      </w:r>
      <w:r>
        <w:t>一是开展专题培训2次，</w:t>
      </w:r>
      <w:r>
        <w:rPr>
          <w:rFonts w:ascii="方正仿宋_GBK" w:eastAsia="方正仿宋_GBK" w:cs="Arial"/>
          <w:sz w:val="32"/>
          <w:szCs w:val="32"/>
        </w:rPr>
        <w:t>围绕主动公开、依申请公开、政策解读进行学习，切实提升工作人员业务能力；二是完善考核约束机制，细化考核评分标准，重点考核答复实效、文书规范等内容。</w:t>
      </w:r>
    </w:p>
    <w:p>
      <w:pPr>
        <w:pStyle w:val="219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219"/>
        <w:adjustRightInd w:val="0"/>
        <w:snapToGrid w:val="0"/>
        <w:ind w:firstLineChars="200" w:firstLine="624"/>
      </w:pPr>
      <w:r>
        <w:t>政府信息公开工作人员专业知识储备不足，缺乏应对处理复杂事项的经验。</w:t>
      </w:r>
    </w:p>
    <w:p>
      <w:pPr>
        <w:pStyle w:val="27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六、</w:t>
      </w:r>
      <w:bookmarkEnd w:id="1"/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其他需要报告的事项</w:t>
      </w:r>
    </w:p>
    <w:p>
      <w:pPr>
        <w:pStyle w:val="221"/>
        <w:adjustRightInd w:val="0"/>
        <w:snapToGrid w:val="0"/>
        <w:ind w:firstLineChars="200" w:firstLine="624"/>
      </w:pPr>
      <w:r>
        <w:t>我关2025年无收取信息处理费情况。</w:t>
      </w:r>
    </w:p>
    <w:p>
      <w:pPr>
        <w:pStyle w:val="19"/>
        <w:tabs>
          <w:tab w:val="center" w:pos="4153"/>
          <w:tab w:val="right" w:pos="8306"/>
        </w:tabs>
        <w:spacing w:line="560" w:lineRule="exact"/>
      </w:pPr>
    </w:p>
    <w:p>
      <w:pPr>
        <w:jc w:val="left"/>
      </w:pPr>
    </w:p>
    <w:p/>
    <w:sectPr>
      <w:footerReference w:type="default" r:id="rId2"/>
      <w:footerReference w:type="even" r:id="rId3"/>
      <w:footerReference w:type="first" r:id="rId4"/>
      <w:pgSz w:w="11907" w:h="16840"/>
      <w:pgMar w:top="2098" w:right="1588" w:bottom="2098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23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jc w:val="center"/>
      <w:rPr>
        <w:rFonts w:ascii="宋体" w:eastAsia="宋体" w:hint="eastAsia"/>
        <w:sz w:val="28"/>
        <w:szCs w:val="28"/>
      </w:rPr>
    </w:pPr>
    <w:r>
      <w:rPr>
        <w:rStyle w:val="20"/>
        <w:rFonts w:ascii="宋体" w:eastAsia="宋体" w:hint="eastAsia"/>
        <w:sz w:val="28"/>
        <w:szCs w:val="28"/>
      </w:rPr>
      <w:fldChar w:fldCharType="begin"/>
    </w:r>
    <w:r>
      <w:rPr>
        <w:rStyle w:val="20"/>
        <w:rFonts w:ascii="宋体" w:eastAsia="宋体" w:hint="eastAsia"/>
        <w:sz w:val="28"/>
        <w:szCs w:val="28"/>
      </w:rPr>
      <w:instrText>Page</w:instrText>
    </w:r>
    <w:r>
      <w:rPr>
        <w:rStyle w:val="20"/>
        <w:rFonts w:ascii="宋体" w:eastAsia="宋体" w:hint="eastAsia"/>
        <w:sz w:val="28"/>
        <w:szCs w:val="28"/>
      </w:rPr>
      <w:fldChar w:fldCharType="separate"/>
    </w:r>
    <w:r>
      <w:rPr>
        <w:rStyle w:val="20"/>
        <w:rFonts w:ascii="宋体" w:eastAsia="宋体" w:hint="eastAsia"/>
        <w:sz w:val="28"/>
        <w:szCs w:val="28"/>
      </w:rPr>
      <w:t>- 1 -</w:t>
    </w:r>
    <w:r>
      <w:rPr>
        <w:rStyle w:val="20"/>
        <w:rFonts w:ascii="宋体" w:eastAsia="宋体" w:hint="eastAsia"/>
        <w:sz w:val="28"/>
        <w:szCs w:val="28"/>
      </w:rPr>
      <w:fldChar w:fldCharType="end"/>
    </w:r>
  </w:p>
  <w:p>
    <w:pPr>
      <w:pStyle w:val="223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22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- 1 -</w:t>
    </w:r>
    <w:r>
      <w:rPr>
        <w:rStyle w:val="20"/>
      </w:rPr>
      <w:fldChar w:fldCharType="end"/>
    </w:r>
  </w:p>
  <w:p>
    <w:pPr>
      <w:pStyle w:val="222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24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24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7"/>
  <w:doNotDisplayPageBoundaries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toc 4"/>
    <w:basedOn w:val="0"/>
    <w:autoRedefine/>
    <w:next w:val="0"/>
    <w:pPr>
      <w:ind w:left="1260"/>
    </w:pPr>
  </w:style>
  <w:style w:type="paragraph" w:styleId="17">
    <w:name w:val="toc 5"/>
    <w:basedOn w:val="0"/>
    <w:autoRedefine/>
    <w:next w:val="0"/>
    <w:pPr>
      <w:ind w:left="1680"/>
    </w:pPr>
  </w:style>
  <w:style w:type="paragraph" w:styleId="18">
    <w:name w:val="toc 7"/>
    <w:basedOn w:val="0"/>
    <w:autoRedefine/>
    <w:next w:val="0"/>
    <w:pPr>
      <w:ind w:left="2520"/>
    </w:pPr>
  </w:style>
  <w:style w:type="paragraph" w:styleId="19">
    <w:name w:val="footer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character" w:styleId="20">
    <w:name w:val="page number"/>
  </w:style>
  <w:style w:type="paragraph" w:styleId="21">
    <w:name w:val="table of authorities"/>
    <w:next w:val="0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22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23">
    <w:name w:val="toa heading"/>
    <w:basedOn w:val="0"/>
    <w:next w:val="0"/>
    <w:pPr>
      <w:spacing w:before="120"/>
    </w:pPr>
    <w:rPr>
      <w:rFonts w:ascii="Arial" w:hAnsi="Arial"/>
      <w:sz w:val="24"/>
      <w:szCs w:val="24"/>
    </w:rPr>
  </w:style>
  <w:style w:type="paragraph" w:styleId="24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25">
    <w:name w:val="Salutation"/>
    <w:basedOn w:val="0"/>
    <w:next w:val="0"/>
  </w:style>
  <w:style w:type="paragraph" w:styleId="26">
    <w:name w:val="Date"/>
    <w:basedOn w:val="0"/>
    <w:next w:val="0"/>
    <w:pPr>
      <w:ind w:leftChars="2500" w:left="2500"/>
    </w:pPr>
  </w:style>
  <w:style w:type="paragraph" w:styleId="27">
    <w:name w:val="Normal (Web)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28">
    <w:name w:val="样式 6 三号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9">
    <w:name w:val="样式 1 小四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0">
    <w:name w:val="样式 12 小四"/>
    <w:next w:val="178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1">
    <w:name w:val="样式 21 小四"/>
    <w:next w:val="188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2">
    <w:name w:val="样式 208 小三"/>
    <w:next w:val="16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">
    <w:name w:val="样式 21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">
    <w:name w:val="样式 22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23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209 小三"/>
    <w:next w:val="17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210 小三"/>
    <w:next w:val="17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211 小三"/>
    <w:next w:val="17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212 小三"/>
    <w:next w:val="17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213 小三"/>
    <w:next w:val="17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">
    <w:name w:val="样式 3 小五"/>
    <w:next w:val="17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2">
    <w:name w:val="样式 11 小四"/>
    <w:next w:val="177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43">
    <w:name w:val="样式 4 三号"/>
    <w:next w:val="17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4">
    <w:name w:val="样式 227 小三"/>
    <w:next w:val="20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9 三号"/>
    <w:next w:val="20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6">
    <w:name w:val="样式 10 三号"/>
    <w:next w:val="20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7">
    <w:name w:val="样式 11 三号"/>
    <w:next w:val="20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12 三号"/>
    <w:next w:val="20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14 三号"/>
    <w:next w:val="207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15 三号"/>
    <w:next w:val="20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1">
    <w:name w:val="样式 228 小三"/>
    <w:next w:val="20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">
    <w:name w:val="样式 16 三号"/>
    <w:next w:val="21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3">
    <w:name w:val="样式 17 三号"/>
    <w:next w:val="21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4">
    <w:name w:val="样式 18 三号"/>
    <w:next w:val="21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5">
    <w:name w:val="样式 19 三号"/>
    <w:next w:val="21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6">
    <w:name w:val="样式 20 三号"/>
    <w:next w:val="21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7">
    <w:name w:val="样式 21 三号"/>
    <w:next w:val="2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8">
    <w:name w:val="样式 229 小三"/>
    <w:next w:val="21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22 三号"/>
    <w:next w:val="217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0">
    <w:name w:val="样式 23 三号"/>
    <w:next w:val="21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1">
    <w:name w:val="样式 24 三号"/>
    <w:next w:val="21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2">
    <w:name w:val="样式 25 三号"/>
    <w:next w:val="22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3">
    <w:name w:val="样式 26 三号"/>
    <w:next w:val="22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4">
    <w:name w:val="样式 27 三号"/>
    <w:next w:val="2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5">
    <w:name w:val="样式 230 小三"/>
    <w:next w:val="2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28 三号"/>
    <w:next w:val="22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7">
    <w:name w:val="样式 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8">
    <w:name w:val="样式 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9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0">
    <w:name w:val="样式 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1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2">
    <w:name w:val="样式 2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4">
    <w:name w:val="样式 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5">
    <w:name w:val="样式 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6">
    <w:name w:val="样式 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7">
    <w:name w:val="样式 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8">
    <w:name w:val="样式 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9">
    <w:name w:val="样式 2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4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1">
    <w:name w:val="样式 4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2">
    <w:name w:val="样式 4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3">
    <w:name w:val="样式 4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4">
    <w:name w:val="样式 4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5">
    <w:name w:val="样式 4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6">
    <w:name w:val="样式 2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4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8">
    <w:name w:val="样式 4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9">
    <w:name w:val="样式 4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0">
    <w:name w:val="样式 4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1">
    <w:name w:val="样式 5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2">
    <w:name w:val="样式 5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3">
    <w:name w:val="样式 2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5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5">
    <w:name w:val="样式 5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6">
    <w:name w:val="样式 5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7">
    <w:name w:val="样式 5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8">
    <w:name w:val="样式 5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9">
    <w:name w:val="样式 5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0">
    <w:name w:val="样式 2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5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2">
    <w:name w:val="样式 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3">
    <w:name w:val="样式 6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4">
    <w:name w:val="样式 6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5">
    <w:name w:val="样式 6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6">
    <w:name w:val="样式 6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7">
    <w:name w:val="样式 2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6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9">
    <w:name w:val="样式 6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0">
    <w:name w:val="样式 6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1">
    <w:name w:val="样式 6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2">
    <w:name w:val="样式 6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3">
    <w:name w:val="样式 7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4">
    <w:name w:val="样式 2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7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6">
    <w:name w:val="样式 7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7">
    <w:name w:val="样式 7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8">
    <w:name w:val="样式 7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9">
    <w:name w:val="样式 7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0">
    <w:name w:val="样式 7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1">
    <w:name w:val="样式 2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7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3">
    <w:name w:val="样式 7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4">
    <w:name w:val="样式 7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5">
    <w:name w:val="样式 8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6">
    <w:name w:val="样式 8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7">
    <w:name w:val="样式 8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8">
    <w:name w:val="样式 2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8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0">
    <w:name w:val="样式 8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1">
    <w:name w:val="样式 8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2">
    <w:name w:val="样式 8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3">
    <w:name w:val="样式 8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4">
    <w:name w:val="样式 8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5">
    <w:name w:val="样式 2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8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7">
    <w:name w:val="样式 9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8">
    <w:name w:val="样式 9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9">
    <w:name w:val="样式 9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0">
    <w:name w:val="样式 9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1">
    <w:name w:val="样式 9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2">
    <w:name w:val="样式 2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9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4">
    <w:name w:val="样式 9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5">
    <w:name w:val="样式 9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6">
    <w:name w:val="样式 9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7">
    <w:name w:val="样式 9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8">
    <w:name w:val="样式 10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9">
    <w:name w:val="样式 2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10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1">
    <w:name w:val="样式 10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2">
    <w:name w:val="样式 10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3">
    <w:name w:val="样式 10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4">
    <w:name w:val="样式 10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5">
    <w:name w:val="样式 10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6">
    <w:name w:val="样式 2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0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8">
    <w:name w:val="样式 10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9">
    <w:name w:val="样式 10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0">
    <w:name w:val="样式 1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1">
    <w:name w:val="样式 1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2">
    <w:name w:val="样式 1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3">
    <w:name w:val="样式 2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5">
    <w:name w:val="样式 1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6">
    <w:name w:val="样式 1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7">
    <w:name w:val="样式 1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8">
    <w:name w:val="样式 1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9">
    <w:name w:val="样式 1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0">
    <w:name w:val="样式 2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2">
    <w:name w:val="样式 1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3">
    <w:name w:val="样式 1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4">
    <w:name w:val="样式 1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5">
    <w:name w:val="样式 1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6">
    <w:name w:val="样式 1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7">
    <w:name w:val="样式 2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9">
    <w:name w:val="样式 1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0">
    <w:name w:val="样式 1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1">
    <w:name w:val="样式 1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2">
    <w:name w:val="样式 1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3">
    <w:name w:val="样式 1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4">
    <w:name w:val="样式 2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6">
    <w:name w:val="样式 1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7">
    <w:name w:val="样式 1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8">
    <w:name w:val="样式 1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9">
    <w:name w:val="样式 1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0">
    <w:name w:val="样式 1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1">
    <w:name w:val="样式 2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3">
    <w:name w:val="样式 1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4">
    <w:name w:val="样式 1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5">
    <w:name w:val="样式 14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6">
    <w:name w:val="样式 14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7">
    <w:name w:val="样式 14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8">
    <w:name w:val="样式 2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4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0">
    <w:name w:val="样式 15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1">
    <w:name w:val="样式 15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2">
    <w:name w:val="样式 15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3">
    <w:name w:val="样式 15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4">
    <w:name w:val="样式 15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5">
    <w:name w:val="样式 2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5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7">
    <w:name w:val="样式 15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8">
    <w:name w:val="样式 15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9">
    <w:name w:val="样式 15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0">
    <w:name w:val="样式 15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1">
    <w:name w:val="样式 1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2">
    <w:name w:val="样式 2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6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4">
    <w:name w:val="样式 16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5">
    <w:name w:val="样式 16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6">
    <w:name w:val="样式 16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7">
    <w:name w:val="样式 16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8">
    <w:name w:val="样式 16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9">
    <w:name w:val="样式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20">
    <w:name w:val="样式 5 三号"/>
    <w:next w:val="18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21">
    <w:name w:val="样式 7 三号"/>
    <w:next w:val="1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22">
    <w:name w:val="样式 小五"/>
    <w:next w:val="21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23">
    <w:name w:val="样式 1 小五"/>
    <w:next w:val="22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24">
    <w:name w:val="样式 2 小五"/>
    <w:next w:val="23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225">
    <w:name w:val="Body Text Indent"/>
    <w:basedOn w:val="0"/>
    <w:pPr>
      <w:spacing w:after="120"/>
      <w:ind w:left="420"/>
    </w:pPr>
  </w:style>
  <w:style w:type="paragraph" w:styleId="226">
    <w:name w:val="Body Text First Indent 2"/>
    <w:basedOn w:val="225"/>
    <w:pPr>
      <w:ind w:firstLine="420"/>
    </w:pPr>
  </w:style>
  <w:style w:type="paragraph" w:customStyle="1" w:styleId="227">
    <w:name w:val="样式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28">
    <w:name w:val="样式 2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29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0">
    <w:name w:val="样式 3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31">
    <w:name w:val="样式 4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32">
    <w:name w:val="样式 50 三号"/>
    <w:next w:val="2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3">
    <w:name w:val="样式 5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34">
    <w:name w:val="样式 6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35">
    <w:name w:val="样式 7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36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7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8">
    <w:name w:val="样式 8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 w:hAnsi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39">
    <w:name w:val="样式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41">
    <w:name w:val="样式 1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277494D-DF37-4820-8DD1-B0C4376A7B0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2391</TotalTime>
  <Application>Yozo_Office27021597764231179</Application>
  <Pages>5</Pages>
  <Words>0</Words>
  <Characters>1685</Characters>
  <Lines>0</Lines>
  <Paragraphs>29</Paragraphs>
  <CharactersWithSpaces>2247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刘菲</dc:creator>
  <cp:lastModifiedBy>汪绍文</cp:lastModifiedBy>
  <cp:revision>1</cp:revision>
  <cp:lastPrinted>2026-01-16T01:32:37Z</cp:lastPrinted>
  <dcterms:created xsi:type="dcterms:W3CDTF">2026-01-13T03:06:26Z</dcterms:created>
  <dcterms:modified xsi:type="dcterms:W3CDTF">2026-01-29T01:16:37Z</dcterms:modified>
</cp:coreProperties>
</file>