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autoSpaceDN w:val="0"/>
        <w:adjustRightInd w:val="0"/>
        <w:snapToGrid w:val="0"/>
        <w:spacing w:line="560" w:lineRule="exact"/>
        <w:ind w:firstLine="420"/>
        <w:jc w:val="center"/>
        <w:rPr>
          <w:rFonts w:ascii="方正小标宋_GBK" w:eastAsia="方正小标宋_GBK" w:cs="Times New Roman"/>
          <w:sz w:val="44"/>
          <w:szCs w:val="44"/>
        </w:rPr>
      </w:pPr>
      <w:bookmarkStart w:id="0" w:name="_GoBack"/>
      <w:bookmarkEnd w:id="0"/>
      <w:r>
        <w:rPr>
          <w:rFonts w:ascii="方正小标宋_GBK" w:eastAsia="方正小标宋_GBK" w:cs="方正小标宋_GBK" w:hint="eastAsia"/>
          <w:sz w:val="44"/>
          <w:szCs w:val="44"/>
        </w:rPr>
        <w:t>武汉海关关于发布境外技术性贸易措施风险信息的提示</w:t>
      </w:r>
    </w:p>
    <w:p>
      <w:pPr>
        <w:autoSpaceDN w:val="0"/>
        <w:adjustRightInd w:val="0"/>
        <w:snapToGrid w:val="0"/>
        <w:spacing w:line="560" w:lineRule="exact"/>
        <w:jc w:val="center"/>
        <w:rPr>
          <w:rFonts w:ascii="方正楷体_GBK" w:eastAsia="方正楷体_GBK" w:cs="Times New Roman"/>
          <w:sz w:val="32"/>
          <w:szCs w:val="32"/>
        </w:rPr>
      </w:pPr>
      <w:r>
        <w:rPr>
          <w:rFonts w:ascii="方正楷体_GBK" w:eastAsia="方正楷体_GBK" w:cs="方正楷体_GBK" w:hint="eastAsia"/>
          <w:sz w:val="32"/>
          <w:szCs w:val="32"/>
        </w:rPr>
        <w:t>（</w:t>
      </w:r>
      <w:r>
        <w:rPr>
          <w:rFonts w:ascii="方正楷体_GBK" w:eastAsia="方正楷体_GBK" w:cs="方正楷体_GBK"/>
          <w:sz w:val="32"/>
          <w:szCs w:val="32"/>
        </w:rPr>
        <w:t>202512</w:t>
      </w:r>
      <w:r>
        <w:rPr>
          <w:rFonts w:ascii="方正楷体_GBK" w:eastAsia="方正楷体_GBK" w:cs="方正楷体_GBK" w:hint="eastAsia"/>
          <w:sz w:val="32"/>
          <w:szCs w:val="32"/>
        </w:rPr>
        <w:t>期总第</w:t>
      </w:r>
      <w:r>
        <w:rPr>
          <w:rFonts w:ascii="方正楷体_GBK" w:eastAsia="方正楷体_GBK" w:cs="方正楷体_GBK"/>
          <w:sz w:val="32"/>
          <w:szCs w:val="32"/>
        </w:rPr>
        <w:t>67</w:t>
      </w:r>
      <w:r>
        <w:rPr>
          <w:rFonts w:ascii="方正楷体_GBK" w:eastAsia="方正楷体_GBK" w:cs="方正楷体_GBK" w:hint="eastAsia"/>
          <w:sz w:val="32"/>
          <w:szCs w:val="32"/>
        </w:rPr>
        <w:t>期）</w:t>
      </w:r>
    </w:p>
    <w:p>
      <w:pPr>
        <w:autoSpaceDN w:val="0"/>
        <w:adjustRightInd w:val="0"/>
        <w:snapToGrid w:val="0"/>
        <w:spacing w:line="560" w:lineRule="exact"/>
        <w:ind w:firstLineChars="200" w:firstLine="640"/>
        <w:rPr>
          <w:rFonts w:ascii="方正仿宋_GBK" w:eastAsia="方正仿宋_GBK" w:cs="Times New Roman"/>
          <w:sz w:val="32"/>
          <w:szCs w:val="32"/>
        </w:rPr>
      </w:pPr>
      <w:r>
        <w:rPr>
          <w:rFonts w:ascii="方正仿宋_GBK" w:eastAsia="方正仿宋_GBK" w:cs="方正仿宋_GBK" w:hint="eastAsia"/>
          <w:sz w:val="32"/>
          <w:szCs w:val="32"/>
        </w:rPr>
        <w:t>当前我国面临复杂严峻的外贸形势，国外技术性贸易措施依然是影响我国企业出口的重要因素之一。为进一步降低技术性贸易措施对湖北出口企业可能造成的影响，推动湖北产品更好“走出去”，提高贸易便利化水平，助力企业开拓海外市场，武汉海关收集整理了近期部分境外技术性贸易措施，供外贸企业参考。现将收集的相关信息公布提示如下：</w:t>
      </w:r>
    </w:p>
    <w:tbl>
      <w:tblPr>
        <w:jc w:val="left"/>
        <w:tblW w:w="14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411"/>
        <w:gridCol w:w="733"/>
        <w:gridCol w:w="12018"/>
      </w:tblGrid>
      <w:tr>
        <w:trPr>
          <w:trHeight w:val="593"/>
        </w:trPr>
        <w:tc>
          <w:tcPr>
            <w:tcW w:w="1411" w:type="dxa"/>
          </w:tcPr>
          <w:p>
            <w:pPr>
              <w:autoSpaceDN w:val="0"/>
              <w:jc w:val="center"/>
              <w:rPr>
                <w:rFonts w:ascii="Times New Roman" w:cs="Times New Roman" w:hAnsi="Times New Roman"/>
                <w:b/>
                <w:bCs/>
              </w:rPr>
            </w:pPr>
            <w:r>
              <w:rPr>
                <w:rFonts w:ascii="Times New Roman" w:cs="Times New Roman" w:hAnsi="Times New Roman"/>
                <w:b/>
                <w:bCs/>
              </w:rPr>
              <w:t>国家</w:t>
            </w:r>
          </w:p>
          <w:p>
            <w:pPr>
              <w:autoSpaceDN w:val="0"/>
              <w:jc w:val="center"/>
              <w:rPr>
                <w:rFonts w:ascii="Times New Roman" w:cs="Times New Roman" w:hAnsi="Times New Roman"/>
                <w:b/>
                <w:bCs/>
              </w:rPr>
            </w:pPr>
            <w:r>
              <w:rPr>
                <w:rFonts w:ascii="Times New Roman" w:cs="Times New Roman" w:hAnsi="Times New Roman"/>
                <w:b/>
                <w:bCs/>
              </w:rPr>
              <w:t>（地区组织）</w:t>
            </w:r>
          </w:p>
        </w:tc>
        <w:tc>
          <w:tcPr>
            <w:tcW w:w="733" w:type="dxa"/>
            <w:vAlign w:val="center"/>
          </w:tcPr>
          <w:p>
            <w:pPr>
              <w:autoSpaceDN w:val="0"/>
              <w:jc w:val="center"/>
              <w:rPr>
                <w:rFonts w:ascii="Times New Roman" w:cs="Times New Roman" w:hAnsi="Times New Roman"/>
              </w:rPr>
            </w:pPr>
            <w:r>
              <w:rPr>
                <w:rFonts w:ascii="Times New Roman" w:cs="Times New Roman" w:hAnsi="Times New Roman"/>
                <w:b/>
                <w:bCs/>
              </w:rPr>
              <w:t>序号</w:t>
            </w:r>
          </w:p>
        </w:tc>
        <w:tc>
          <w:tcPr>
            <w:tcW w:w="12018" w:type="dxa"/>
          </w:tcPr>
          <w:p>
            <w:pPr>
              <w:autoSpaceDN w:val="0"/>
              <w:jc w:val="center"/>
              <w:rPr>
                <w:rFonts w:ascii="Times New Roman" w:cs="Times New Roman" w:hAnsi="Times New Roman"/>
              </w:rPr>
            </w:pPr>
            <w:r>
              <w:rPr>
                <w:rFonts w:ascii="Times New Roman" w:cs="Times New Roman" w:hAnsi="Times New Roman"/>
                <w:b/>
                <w:bCs/>
                <w:sz w:val="28"/>
                <w:szCs w:val="28"/>
              </w:rPr>
              <w:t>提示信息</w:t>
            </w:r>
          </w:p>
        </w:tc>
      </w:tr>
      <w:tr>
        <w:trPr>
          <w:trHeight w:val="1640"/>
        </w:trPr>
        <w:tc>
          <w:tcPr>
            <w:tcW w:w="1411" w:type="dxa"/>
            <w:vMerge w:val="restart"/>
            <w:vAlign w:val="center"/>
          </w:tcPr>
          <w:p>
            <w:pPr>
              <w:pStyle w:val="171"/>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美国</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w:t>
            </w:r>
          </w:p>
        </w:tc>
        <w:tc>
          <w:tcPr>
            <w:tcW w:w="12018" w:type="dxa"/>
            <w:vAlign w:val="center"/>
          </w:tcPr>
          <w:p>
            <w:pPr>
              <w:jc w:val="left"/>
              <w:rPr>
                <w:rFonts w:ascii="宋体" w:cs="Lucida Sans"/>
                <w:sz w:val="24"/>
              </w:rPr>
            </w:pPr>
            <w:r>
              <w:rPr>
                <w:rFonts w:ascii="宋体" w:eastAsia="宋体" w:cs="Lucida Sans"/>
                <w:color w:val="auto"/>
                <w:sz w:val="24"/>
              </w:rPr>
              <w:t>关于某些化学物质的重要新使用规则。环境保护署（EPA）正在根据《有毒物质控制法案》针对某些化学物质提出重要的新使用规则，这些化学物质是制造前通知的主题，也受EPA根据TSCA发布的命令的约束。SNURs要求打算为本规则制定提出的重要新用途的活动制造（法规定义包括进口）或加工任何这些化学物质的人员在开始该活动前至少90天通知EPA。所需的通报启动EPA对该化学物质的使用条件的评估。此外，在EPA对所需的通报进行审查、对该通报做出适当决定并采取该决定要求的行动之前，重大新用途的制造或加工不得开始。</w:t>
            </w:r>
          </w:p>
        </w:tc>
      </w:tr>
      <w:tr>
        <w:trPr>
          <w:trHeight w:val="1861"/>
        </w:trPr>
        <w:tc>
          <w:tcPr>
            <w:tcW w:w="1307" w:type="dxa"/>
            <w:vMerge/>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w:t>
            </w:r>
          </w:p>
        </w:tc>
        <w:tc>
          <w:tcPr>
            <w:tcW w:w="12018" w:type="dxa"/>
            <w:vAlign w:val="center"/>
          </w:tcPr>
          <w:p>
            <w:pPr>
              <w:jc w:val="left"/>
              <w:rPr>
                <w:rFonts w:ascii="宋体" w:cs="Lucida Sans"/>
                <w:sz w:val="24"/>
              </w:rPr>
            </w:pPr>
            <w:r>
              <w:rPr>
                <w:rFonts w:ascii="宋体" w:eastAsia="宋体" w:cs="Lucida Sans"/>
                <w:color w:val="auto"/>
                <w:sz w:val="24"/>
              </w:rPr>
              <w:t xml:space="preserve">根据《有毒物质控制法》进行全氟烷基和多氟烷基物质数据报告和记录保存。美国环境保护署（EPA）正在提议对《有毒物质控制法案》法规进行修订，以规定全氟烷基和多氟烷基物质（PFAS）的报告和记录保存要求。该法规于2023年10月颁布（最终规则通知为G/TBT/N/USA/1742/Add.3），要求PFAS制造商（包括进口商）在2011年至2022年期间的任何一年向EPA报告与暴露以及环境和健康影响相关的某些数据。EPA提议将某些豁免和其他修改纳入报告法规的范围。这些豁免将保留有关PFAS的重要报告，符合法定要求，同时豁免报告制造商最不可能知道或合理确定的活动。 </w:t>
            </w:r>
          </w:p>
        </w:tc>
      </w:tr>
      <w:tr>
        <w:trPr>
          <w:trHeight w:val="1792"/>
        </w:trPr>
        <w:tc>
          <w:tcPr>
            <w:tcW w:w="1307" w:type="dxa"/>
            <w:vMerge/>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w:t>
            </w:r>
          </w:p>
        </w:tc>
        <w:tc>
          <w:tcPr>
            <w:tcW w:w="12018" w:type="dxa"/>
            <w:vAlign w:val="center"/>
          </w:tcPr>
          <w:p>
            <w:pPr>
              <w:jc w:val="left"/>
              <w:rPr>
                <w:rFonts w:ascii="宋体" w:cs="Lucida Sans"/>
                <w:sz w:val="24"/>
              </w:rPr>
            </w:pPr>
            <w:r>
              <w:rPr>
                <w:rFonts w:ascii="宋体" w:eastAsia="宋体" w:cs="Lucida Sans"/>
                <w:color w:val="auto"/>
                <w:sz w:val="24"/>
              </w:rPr>
              <w:t>对EPCRA危险化学品库存报告要求进行技术修订，以符合2024年OSHA危险沟通标准。环境保护局提议使应急规划和社区知情权法案危险化学品清单报告条例符合职业安全与健康管理局2012年和2024年危害沟通标准修正案。《应急规划和社区知情权法》及其条例依赖于职业安全和健康管理局的危害沟通标准来定义危险化学品以及根据危险化学品清单条例必须报告的健康和物理危害类别。该行动建议使危险化学品清单表中使用的术语和必须报告的信息符合危险通信标准修正案。因此，这一拟议行动还将提高急救人员和社区安全，减少差异和混乱，防止在使用（材料）安全数据表完成年度危险化学品清单报告时给设施带来解释负担，并提高清晰度。</w:t>
            </w:r>
          </w:p>
        </w:tc>
      </w:tr>
      <w:tr>
        <w:trPr>
          <w:trHeight w:val="925"/>
        </w:trPr>
        <w:tc>
          <w:tcPr>
            <w:tcW w:w="1307" w:type="dxa"/>
            <w:vMerge/>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w:t>
            </w:r>
          </w:p>
        </w:tc>
        <w:tc>
          <w:tcPr>
            <w:tcW w:w="12018" w:type="dxa"/>
            <w:vAlign w:val="center"/>
          </w:tcPr>
          <w:p>
            <w:pPr>
              <w:jc w:val="left"/>
              <w:rPr>
                <w:rFonts w:ascii="宋体" w:eastAsia="宋体" w:cs="宋体"/>
                <w:sz w:val="24"/>
              </w:rPr>
            </w:pPr>
            <w:r>
              <w:rPr>
                <w:rFonts w:ascii="宋体" w:eastAsia="宋体" w:cs="Lucida Sans"/>
                <w:color w:val="auto"/>
                <w:sz w:val="24"/>
              </w:rPr>
              <w:t>美国橙汁等级标准。临时最终通知农业营销服务局正在修订美国橙汁等级标准（美国OJ标准）。本临时最终通知修订了美国OJ标准下巴氏杀菌橙汁的B级白利糖度允许限度，以参考美国食品药品监督管理局的POJ鉴别标准（SOI）。</w:t>
            </w:r>
          </w:p>
        </w:tc>
      </w:tr>
      <w:tr>
        <w:trPr>
          <w:trHeight w:val="1861"/>
        </w:trPr>
        <w:tc>
          <w:tcPr>
            <w:tcW w:w="1307" w:type="dxa"/>
            <w:vMerge/>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w:t>
            </w:r>
          </w:p>
        </w:tc>
        <w:tc>
          <w:tcPr>
            <w:tcW w:w="12018" w:type="dxa"/>
            <w:vAlign w:val="center"/>
          </w:tcPr>
          <w:p>
            <w:pPr>
              <w:jc w:val="left"/>
              <w:rPr>
                <w:rFonts w:ascii="宋体" w:eastAsia="宋体" w:cs="宋体"/>
                <w:sz w:val="24"/>
              </w:rPr>
            </w:pPr>
            <w:r>
              <w:rPr>
                <w:rFonts w:ascii="宋体" w:eastAsia="宋体" w:cs="Lucida Sans"/>
                <w:color w:val="auto"/>
                <w:sz w:val="24"/>
              </w:rPr>
              <w:t xml:space="preserve">修改某些化学物质的重要新使用规则。美国环境保护署(EPA)提议修订本文确定的某些化学物质的重要新用途规则(SNUR)，这些化学物质是一种或多种生产前通知(PMN)、一种物质的微生物商业活动通知(MCAN)的主题，在某些情况下是重要新用途通知(SNUN)。该行动将修订SNURs，以(1)允许SNUNs或PMNs中报告的某些新用途，而无需额外的通报要求，(2)根据SNUNs或PMN提交的行动和决定，或根据对新测试数据或其他信息的检查，修改重要的新用途通报要求，以及(3)对几个SNURs进行技术修订。EPA根据我们对化学物质的新数据和现有数据的审查提出了这些修正案。 </w:t>
            </w:r>
          </w:p>
        </w:tc>
      </w:tr>
      <w:tr>
        <w:trPr>
          <w:trHeight w:val="1237"/>
        </w:trPr>
        <w:tc>
          <w:tcPr>
            <w:tcW w:w="1307" w:type="dxa"/>
            <w:vMerge/>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w:t>
            </w:r>
          </w:p>
        </w:tc>
        <w:tc>
          <w:tcPr>
            <w:tcW w:w="12018" w:type="dxa"/>
            <w:vAlign w:val="center"/>
          </w:tcPr>
          <w:p>
            <w:pPr>
              <w:jc w:val="left"/>
              <w:rPr>
                <w:rFonts w:ascii="宋体" w:eastAsia="宋体" w:cs="宋体"/>
                <w:sz w:val="24"/>
              </w:rPr>
            </w:pPr>
            <w:r>
              <w:rPr>
                <w:rFonts w:ascii="宋体" w:eastAsia="宋体" w:cs="Lucida Sans"/>
                <w:color w:val="auto"/>
                <w:sz w:val="24"/>
              </w:rPr>
              <w:t xml:space="preserve">保护平流层臭氧：在制冷和空调以及消防领域的重大新替代品政策方案下列出替代品。根据美国环境保护署的重要新替代品政策计划，该行动建议根据使用条件，将住宅和轻型商用空调和热泵、冷却器、家用冰箱和冰柜、机动车空调以及灭火和防爆的几种替代品列为可接受的替代品。该行动还提议更新以前为某些空调最终用途和水冷却器列出的替代品的使用条件。 </w:t>
            </w:r>
          </w:p>
        </w:tc>
      </w:tr>
      <w:tr>
        <w:trPr>
          <w:trHeight w:val="1237"/>
        </w:trPr>
        <w:tc>
          <w:tcPr>
            <w:tcW w:w="1412" w:type="dxa"/>
            <w:vMerge/>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7</w:t>
            </w:r>
          </w:p>
        </w:tc>
        <w:tc>
          <w:tcPr>
            <w:tcW w:w="12018" w:type="dxa"/>
            <w:vAlign w:val="center"/>
          </w:tcPr>
          <w:p>
            <w:pPr>
              <w:jc w:val="left"/>
              <w:rPr>
                <w:rFonts w:ascii="宋体" w:eastAsia="宋体" w:cs="宋体"/>
                <w:sz w:val="24"/>
              </w:rPr>
            </w:pPr>
            <w:r>
              <w:rPr>
                <w:rFonts w:ascii="宋体" w:eastAsia="宋体" w:cs="Lucida Sans"/>
                <w:color w:val="auto"/>
                <w:sz w:val="24"/>
              </w:rPr>
              <w:t xml:space="preserve">授权许可使用“下一代”广播电视标准。在本文件中，联邦通信委员会就拟议的规则变更寻求评议，以支持和加速美国正在进行的基于市场的广播电视向ATSC 3.0的过渡。该文件的初步结论是，委员会应取消对过渡到3.0的电台的联播要求，同时继续允许在自愿、简化的基础上进行联播。它还就一系列密切相关的问题和其他涉及下一代电视过渡的事项寻求评议。 </w:t>
            </w:r>
          </w:p>
        </w:tc>
      </w:tr>
      <w:tr>
        <w:trPr>
          <w:trHeight w:val="1237"/>
        </w:trPr>
        <w:tc>
          <w:tcPr>
            <w:tcW w:w="1411" w:type="dxa"/>
            <w:vMerge w:val="restart"/>
            <w:tcBorders>
              <w:tl2br w:val="nil"/>
              <w:tr2bl w:val="nil"/>
            </w:tcBorders>
            <w:vAlign w:val="center"/>
          </w:tcPr>
          <w:p>
            <w:pPr>
              <w:pStyle w:val="173"/>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埃及</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8</w:t>
            </w:r>
          </w:p>
        </w:tc>
        <w:tc>
          <w:tcPr>
            <w:tcW w:w="12018" w:type="dxa"/>
            <w:vAlign w:val="center"/>
          </w:tcPr>
          <w:p>
            <w:pPr>
              <w:jc w:val="left"/>
            </w:pPr>
            <w:r>
              <w:rPr>
                <w:rFonts w:ascii="宋体" w:eastAsia="宋体" w:cs="Lucida Sans"/>
                <w:color w:val="auto"/>
                <w:sz w:val="24"/>
              </w:rPr>
              <w:t xml:space="preserve">第6/2025号部长令强制执行埃及标准ES 189-3/2018（2022年部分修改）“酒精饮料-第3部分：蒸馏酒精饮料”。第6/2025号部长令给予生产商和进口商六个月的过渡期，以遵守埃及标准ES 189-3/2018，该标准规定了蒸馏酒精饮料的基本要求和描述性标准。值得一提的是，该标准符合以下规定：KS/EAS 143：2014肯尼亚/东非标准“白兰地-规格”。国际酿酒实践规范（第01/2016期）-国际葡萄和葡萄酒组织。 </w:t>
            </w:r>
          </w:p>
        </w:tc>
      </w:tr>
      <w:tr>
        <w:trPr>
          <w:trHeight w:val="1549"/>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9</w:t>
            </w:r>
          </w:p>
        </w:tc>
        <w:tc>
          <w:tcPr>
            <w:tcW w:w="12018" w:type="dxa"/>
            <w:vAlign w:val="center"/>
          </w:tcPr>
          <w:p>
            <w:pPr>
              <w:jc w:val="left"/>
              <w:rPr>
                <w:rFonts w:ascii="宋体" w:eastAsia="宋体" w:cs="宋体"/>
                <w:sz w:val="24"/>
              </w:rPr>
            </w:pPr>
            <w:r>
              <w:rPr>
                <w:rFonts w:ascii="宋体" w:eastAsia="宋体" w:cs="Lucida Sans"/>
                <w:color w:val="auto"/>
                <w:sz w:val="24"/>
              </w:rPr>
              <w:t xml:space="preserve">第6/2025号部长令，强制执行埃及标准189-2/2018（2022、2023年部分修改）“酒精饮料第2部分：啤酒和调味啤酒”。第6/2025号部长令给予生产商和进口商六个月的过渡期，以遵守埃及标准ES 189-2/2018，该标准规定了啤酒和调味啤酒的基本要求和描述性标准。值得一提的是，该标准符合以下标准：国际酿酒实践规范（第01/2016号）-国际葡萄和葡萄酒组织。理事会条例第1601/91号规定了加香葡萄酒、加香葡萄酒基饮料和加香葡萄酒产品鸡尾酒的定义、描述和展示的一般规则。 </w:t>
            </w:r>
          </w:p>
        </w:tc>
      </w:tr>
      <w:tr>
        <w:trPr>
          <w:trHeight w:val="1549"/>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10</w:t>
            </w:r>
          </w:p>
        </w:tc>
        <w:tc>
          <w:tcPr>
            <w:tcW w:w="12018" w:type="dxa"/>
            <w:vAlign w:val="center"/>
          </w:tcPr>
          <w:p>
            <w:pPr>
              <w:jc w:val="left"/>
              <w:rPr>
                <w:rFonts w:ascii="宋体" w:eastAsia="宋体" w:cs="宋体"/>
                <w:sz w:val="24"/>
              </w:rPr>
            </w:pPr>
            <w:r>
              <w:rPr>
                <w:rFonts w:ascii="宋体" w:eastAsia="宋体" w:cs="Lucida Sans"/>
                <w:color w:val="auto"/>
                <w:sz w:val="24"/>
              </w:rPr>
              <w:t xml:space="preserve">第6/2025号部长令强制执行埃及标准ES 189-1/2018（2022年部分修订）“酒精饮料-第1部分：葡萄酒”。第6/2025号部长令给予生产商和进口商六个月的过渡期，以遵守埃及标准ES 189-1/2018，该标准规定了酒精饮料“葡萄酒”的基本要求和描述性标准。值得一提的是，该标准符合以下规定：国际酿酒实践规范（第01/2016号）-国际葡萄和葡萄酒组织（OIV）。理事会条例（EEC）第1601/91号规定了加香葡萄酒、加香葡萄酒基饮料和加香葡萄酒产品鸡尾酒的定义、描述和展示的一般规则。 </w:t>
            </w:r>
          </w:p>
        </w:tc>
      </w:tr>
      <w:tr>
        <w:trPr>
          <w:trHeight w:val="1549"/>
        </w:trPr>
        <w:tc>
          <w:tcPr>
            <w:tcW w:w="1413"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11</w:t>
            </w:r>
          </w:p>
        </w:tc>
        <w:tc>
          <w:tcPr>
            <w:tcW w:w="12018" w:type="dxa"/>
            <w:vAlign w:val="center"/>
          </w:tcPr>
          <w:p>
            <w:pPr>
              <w:jc w:val="left"/>
              <w:rPr>
                <w:rFonts w:ascii="宋体" w:eastAsia="宋体" w:cs="宋体"/>
                <w:sz w:val="24"/>
              </w:rPr>
            </w:pPr>
            <w:r>
              <w:rPr>
                <w:rFonts w:ascii="宋体" w:eastAsia="宋体" w:cs="Lucida Sans"/>
                <w:color w:val="auto"/>
                <w:sz w:val="24"/>
              </w:rPr>
              <w:t>第6/2025号部长令强制执行埃及标准ES 189-4/2018（2022年部分修订）“酒精饮料-第4部分：除啤酒和葡萄酒以外的其他发酵酒精饮料”。第6/2025号部长令给予生产商和进口商六个月的过渡期，以遵守埃及标准ES 189-4/2018，该标准规定了除啤酒和葡萄酒以外的其他发酵酒精饮料的基本要求和描述性标准。值得一提的是，该标准符合以下内容：KS/EAS 143：2014肯尼亚/东非标准“白兰地-规格”。国际酿酒实践规范（第01/2016期）-国际葡萄和葡萄酒组织。</w:t>
            </w:r>
          </w:p>
        </w:tc>
      </w:tr>
      <w:tr>
        <w:trPr>
          <w:trHeight w:val="925"/>
        </w:trPr>
        <w:tc>
          <w:tcPr>
            <w:tcW w:w="1411" w:type="dxa"/>
            <w:vMerge w:val="restart"/>
            <w:tcBorders>
              <w:tl2br w:val="nil"/>
              <w:tr2bl w:val="nil"/>
            </w:tcBorders>
            <w:vAlign w:val="center"/>
          </w:tcPr>
          <w:p>
            <w:pPr>
              <w:pStyle w:val="174"/>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澳大利亚</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12</w:t>
            </w:r>
          </w:p>
        </w:tc>
        <w:tc>
          <w:tcPr>
            <w:tcW w:w="12018" w:type="dxa"/>
            <w:vAlign w:val="center"/>
          </w:tcPr>
          <w:p>
            <w:pPr>
              <w:jc w:val="left"/>
              <w:rPr>
                <w:rFonts w:ascii="宋体" w:eastAsia="宋体" w:cs="宋体"/>
                <w:sz w:val="24"/>
              </w:rPr>
            </w:pPr>
            <w:r>
              <w:rPr>
                <w:rFonts w:ascii="宋体" w:eastAsia="宋体" w:cs="Lucida Sans"/>
                <w:color w:val="auto"/>
                <w:sz w:val="24"/>
              </w:rPr>
              <w:t>评估提案P1056-咖啡因审查（第二次征集）。该提案考虑是否需要采取措施监管澳大利亚和新西兰食品供应中的咖啡因，以保护公众健康和安全,特别是，该提案正在研究：在配制的补充运动食品中添加咖啡因，在一般食品供应中添加咖啡因，以及对弱势亚人群构成的风险程度。</w:t>
            </w:r>
          </w:p>
        </w:tc>
      </w:tr>
      <w:tr>
        <w:trPr>
          <w:trHeight w:val="624"/>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13</w:t>
            </w:r>
          </w:p>
        </w:tc>
        <w:tc>
          <w:tcPr>
            <w:tcW w:w="12018" w:type="dxa"/>
            <w:vAlign w:val="center"/>
          </w:tcPr>
          <w:p>
            <w:pPr>
              <w:jc w:val="left"/>
              <w:rPr>
                <w:rFonts w:ascii="宋体" w:eastAsia="宋体" w:cs="宋体"/>
                <w:sz w:val="24"/>
              </w:rPr>
            </w:pPr>
            <w:r>
              <w:rPr>
                <w:rFonts w:ascii="宋体" w:eastAsia="宋体" w:cs="Lucida Sans"/>
                <w:color w:val="auto"/>
                <w:sz w:val="24"/>
              </w:rPr>
              <w:t xml:space="preserve">水印认证计划-WMTS-541：202x PVC-C管道和配件DN8至DN100。本技术规范规定了冷水消防喷水灭火系统中使用的PVC-C管道系统（管道、配件、溶剂水泥）的要求。该系统包括尺寸从DN 8到DN 100的PVC-C管道和配件。澳大利亚管道规范（PCA）要求大多数用于建筑物内或周围管道和排水装置的产品必须经过水印产品规格的评估和认证。适用产品规范的水印认证提供了一个评估和授权产品的过程，使其能够在管道和排水装置中使用。从而确保管道和排水产品适合其预期用途。本水印技术规范是根据《水印认证方案手册》附录4《产品规范制定方案》编制的。水印技术规范的目标是根据澳大利亚管道规范的要求实现产品认证。 </w:t>
            </w:r>
          </w:p>
        </w:tc>
      </w:tr>
      <w:tr>
        <w:trPr>
          <w:trHeight w:val="2000"/>
        </w:trPr>
        <w:tc>
          <w:tcPr>
            <w:tcW w:w="1380"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14</w:t>
            </w:r>
          </w:p>
        </w:tc>
        <w:tc>
          <w:tcPr>
            <w:tcW w:w="12018" w:type="dxa"/>
            <w:vAlign w:val="center"/>
          </w:tcPr>
          <w:p>
            <w:pPr>
              <w:jc w:val="left"/>
              <w:rPr>
                <w:rFonts w:ascii="宋体" w:eastAsia="宋体" w:cs="宋体"/>
                <w:sz w:val="24"/>
              </w:rPr>
            </w:pPr>
            <w:r>
              <w:rPr>
                <w:rFonts w:ascii="宋体" w:eastAsia="宋体" w:cs="Lucida Sans"/>
                <w:color w:val="auto"/>
                <w:sz w:val="24"/>
              </w:rPr>
              <w:t>对水上玩具强制性安全标准的有限审查。水上玩具强制性标准2020年消费品（水上玩具）安全标准（强制性标准）于1986年首次推出，旨在确保在澳大利亚供应的水上玩具具有关键的安全特征和标签，以降低儿童因溺水而严重受伤或死亡的风险。ACCC正在对强制性标准进行有限的审查。本次有限审查的目的是征求利益相关者对以下方面的意见：更新强制性标准以参考并允许遵守当前参考的自愿性ISO和澳大利亚标准的2022年和2023年版本添加动态参考是否合适-因此对参考的自愿性标准的更新流动到强制性标准过渡期，以支持行业合规性。在这次有限的审查中，不考虑重大变化，如改变强制性标准的范围或其他主要要求（如绩效衡量）。该强制性标准最近一次更新是在2020年，规定了在浅水中玩耍时使用的安全和标签要求，并且能够承受14岁以下儿童的质量。</w:t>
            </w:r>
          </w:p>
        </w:tc>
      </w:tr>
      <w:tr>
        <w:trPr>
          <w:trHeight w:val="1632"/>
        </w:trPr>
        <w:tc>
          <w:tcPr>
            <w:tcW w:w="1413"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15</w:t>
            </w:r>
          </w:p>
        </w:tc>
        <w:tc>
          <w:tcPr>
            <w:tcW w:w="12018" w:type="dxa"/>
            <w:vAlign w:val="center"/>
          </w:tcPr>
          <w:p>
            <w:pPr>
              <w:jc w:val="left"/>
              <w:rPr>
                <w:rFonts w:ascii="宋体" w:eastAsia="宋体" w:cs="宋体"/>
                <w:sz w:val="24"/>
              </w:rPr>
            </w:pPr>
            <w:r>
              <w:rPr>
                <w:rFonts w:ascii="宋体" w:eastAsia="宋体" w:cs="Lucida Sans"/>
                <w:color w:val="auto"/>
                <w:sz w:val="24"/>
              </w:rPr>
              <w:t>水印认证方案-AS 4775紧急淋浴、洗眼和洗眼/洗脸设备和淋浴软管。本文件规定了以下设备的供应、安装、性能和使用的最低要求：（a）用于对暴露于可能造成伤害的材料的人的眼睛或身体进行紧急治疗的洗眼和淋浴设备；以及（b）以下补充设备：（i）淋浴软管。（ii）独立（便携式）设备。本文件涵盖-(i)紧急淋浴设备；(ii)洗眼设备；(iii)洗眼或洗脸设备；(iv)组合淋浴和洗眼器或洗眼或洗脸设备；(v)上述(i)至(iv)项适用于残疾人士；以及（vi）上述内容的可及性。本文件不包括用于重大应急响应或军事应用的大型多喷雾淋浴设备。然而，本文件涵盖了此类设备中包含的洗眼装置。</w:t>
            </w:r>
          </w:p>
        </w:tc>
      </w:tr>
      <w:tr>
        <w:trPr>
          <w:trHeight w:val="392"/>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16</w:t>
            </w:r>
          </w:p>
        </w:tc>
        <w:tc>
          <w:tcPr>
            <w:tcW w:w="12018" w:type="dxa"/>
            <w:vAlign w:val="center"/>
          </w:tcPr>
          <w:p>
            <w:pPr>
              <w:jc w:val="left"/>
              <w:rPr>
                <w:rFonts w:ascii="宋体" w:eastAsia="宋体" w:cs="宋体"/>
                <w:sz w:val="24"/>
              </w:rPr>
            </w:pPr>
            <w:r>
              <w:rPr>
                <w:rFonts w:ascii="宋体" w:eastAsia="宋体" w:cs="Lucida Sans"/>
                <w:color w:val="auto"/>
                <w:sz w:val="24"/>
              </w:rPr>
              <w:t>P1056咖啡因审核咨询文件自然产生的咖啡因和标签。该提案建议：禁止零售食品中含有咖啡因。除非明确批准，否则禁止在零售食品中添加咖啡因；明确允许在运动食品补充配方中添加咖啡因，但须符合成分、包装和标签要求。该提案考虑是否需要采取措施监管澳大利亚和新西兰食品供应中的咖啡因，以保护公众健康和安全。</w:t>
            </w:r>
          </w:p>
        </w:tc>
      </w:tr>
      <w:tr>
        <w:trPr>
          <w:trHeight w:val="613"/>
        </w:trPr>
        <w:tc>
          <w:tcPr>
            <w:tcW w:w="1411" w:type="dxa"/>
            <w:tcBorders>
              <w:tl2br w:val="nil"/>
              <w:tr2bl w:val="nil"/>
            </w:tcBorders>
            <w:vAlign w:val="center"/>
          </w:tcPr>
          <w:p>
            <w:pPr>
              <w:pStyle w:val="111"/>
              <w:jc w:val="center"/>
            </w:pPr>
            <w:r>
              <w:t>巴林</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17</w:t>
            </w:r>
          </w:p>
        </w:tc>
        <w:tc>
          <w:tcPr>
            <w:tcW w:w="12018" w:type="dxa"/>
            <w:vAlign w:val="center"/>
          </w:tcPr>
          <w:p>
            <w:pPr>
              <w:jc w:val="left"/>
              <w:rPr>
                <w:rFonts w:ascii="宋体" w:eastAsia="宋体" w:cs="宋体"/>
                <w:sz w:val="24"/>
              </w:rPr>
            </w:pPr>
            <w:r>
              <w:rPr>
                <w:rFonts w:ascii="宋体" w:eastAsia="宋体" w:cs="Lucida Sans"/>
                <w:color w:val="auto"/>
                <w:sz w:val="24"/>
              </w:rPr>
              <w:t xml:space="preserve">钢筋产品（碳钢筋）技术规程。本技术法规的目的是通过强制规定确保受监管产品质量的具体要求，组织巴林市场碳钢筋的进口、生产和使用。 </w:t>
            </w:r>
          </w:p>
        </w:tc>
      </w:tr>
      <w:tr>
        <w:trPr>
          <w:trHeight w:val="964"/>
        </w:trPr>
        <w:tc>
          <w:tcPr>
            <w:tcW w:w="1411" w:type="dxa"/>
            <w:vMerge w:val="restart"/>
            <w:tcBorders>
              <w:tl2br w:val="nil"/>
              <w:tr2bl w:val="nil"/>
            </w:tcBorders>
            <w:vAlign w:val="center"/>
          </w:tcPr>
          <w:p>
            <w:pPr>
              <w:pStyle w:val="157"/>
              <w:jc w:val="center"/>
            </w:pPr>
            <w:r>
              <w:t>巴西</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18</w:t>
            </w:r>
          </w:p>
        </w:tc>
        <w:tc>
          <w:tcPr>
            <w:tcW w:w="12018" w:type="dxa"/>
            <w:vAlign w:val="center"/>
          </w:tcPr>
          <w:p>
            <w:pPr>
              <w:jc w:val="left"/>
              <w:rPr>
                <w:rFonts w:ascii="宋体" w:eastAsia="宋体" w:cs="宋体"/>
                <w:sz w:val="24"/>
              </w:rPr>
            </w:pPr>
            <w:r>
              <w:rPr>
                <w:rFonts w:ascii="宋体" w:eastAsia="宋体" w:cs="Lucida Sans"/>
                <w:color w:val="auto"/>
                <w:sz w:val="24"/>
              </w:rPr>
              <w:t xml:space="preserve">2025年10月31日第12,709号法令。规范1988年11月8日第7,678号法律、1991年1月17日第8.171号法律第27-A条第IV项和第1条第III项、第28-A条和第29-A条、1994年7月14日第8.918号法律、2000年5月25日第9.972号法律和2022年12月29日第14.515号法律规定的植物源产品检验。 </w:t>
            </w:r>
          </w:p>
        </w:tc>
      </w:tr>
      <w:tr>
        <w:trPr>
          <w:trHeight w:val="925"/>
        </w:trPr>
        <w:tc>
          <w:tcPr>
            <w:tcW w:w="1413"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19</w:t>
            </w:r>
          </w:p>
        </w:tc>
        <w:tc>
          <w:tcPr>
            <w:tcW w:w="12018" w:type="dxa"/>
            <w:vAlign w:val="center"/>
          </w:tcPr>
          <w:p>
            <w:pPr>
              <w:jc w:val="left"/>
              <w:rPr>
                <w:rFonts w:ascii="宋体" w:eastAsia="宋体" w:cs="宋体"/>
                <w:sz w:val="24"/>
              </w:rPr>
            </w:pPr>
            <w:r>
              <w:rPr>
                <w:rFonts w:ascii="宋体" w:eastAsia="宋体" w:cs="Lucida Sans"/>
                <w:color w:val="auto"/>
                <w:sz w:val="24"/>
              </w:rPr>
              <w:t>2025年10月24日第1355号决议草案 该决议草案提议修订农药、家用清洁产品和木材防腐剂活性成分专论清单中活性成分T59-单宁的专论，该专论由规范性指令103于2021年10月19日在巴西官方公报(DOU-Diário Oficial da União)上公布。</w:t>
            </w:r>
          </w:p>
        </w:tc>
      </w:tr>
      <w:tr>
        <w:trPr>
          <w:trHeight w:val="639"/>
        </w:trPr>
        <w:tc>
          <w:tcPr>
            <w:tcW w:w="1380"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20</w:t>
            </w:r>
          </w:p>
        </w:tc>
        <w:tc>
          <w:tcPr>
            <w:tcW w:w="12018" w:type="dxa"/>
            <w:vAlign w:val="center"/>
          </w:tcPr>
          <w:p>
            <w:pPr>
              <w:jc w:val="left"/>
              <w:rPr>
                <w:rFonts w:ascii="宋体" w:eastAsia="宋体" w:cs="宋体"/>
                <w:sz w:val="24"/>
              </w:rPr>
            </w:pPr>
            <w:r>
              <w:rPr>
                <w:rFonts w:ascii="宋体" w:eastAsia="宋体" w:cs="宋体"/>
                <w:sz w:val="24"/>
              </w:rPr>
              <w:t>草案更新了进口智利生产的新鲜草莓的植物检疫要求。旨在更新进口智利生产的新鲜草莓（第3类）的植物检疫要求的条例草案。</w:t>
            </w:r>
          </w:p>
        </w:tc>
      </w:tr>
      <w:tr>
        <w:trPr>
          <w:trHeight w:val="301"/>
        </w:trPr>
        <w:tc>
          <w:tcPr>
            <w:tcW w:w="1411" w:type="dxa"/>
            <w:vMerge w:val="restart"/>
            <w:tcBorders>
              <w:tl2br w:val="nil"/>
              <w:tr2bl w:val="nil"/>
            </w:tcBorders>
            <w:vAlign w:val="center"/>
          </w:tcPr>
          <w:p>
            <w:pPr>
              <w:pStyle w:val="178"/>
              <w:jc w:val="center"/>
              <w:textAlignment w:val="center"/>
            </w:pPr>
            <w:r>
              <w:t>博茨瓦纳</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21</w:t>
            </w:r>
          </w:p>
        </w:tc>
        <w:tc>
          <w:tcPr>
            <w:tcW w:w="12018" w:type="dxa"/>
            <w:vAlign w:val="center"/>
          </w:tcPr>
          <w:p>
            <w:pPr>
              <w:jc w:val="left"/>
              <w:rPr>
                <w:rFonts w:ascii="宋体" w:eastAsia="宋体" w:cs="宋体"/>
                <w:sz w:val="24"/>
              </w:rPr>
            </w:pPr>
            <w:r>
              <w:rPr>
                <w:rFonts w:ascii="宋体" w:eastAsia="宋体" w:cs="Lucida Sans"/>
                <w:color w:val="auto"/>
                <w:sz w:val="24"/>
              </w:rPr>
              <w:t xml:space="preserve">BOS ISO 7203-3:2019灭火介质泡沫浓缩物第3部分：顶部应用于水混溶液体的低膨胀泡沫浓缩物规范。 </w:t>
            </w:r>
          </w:p>
        </w:tc>
      </w:tr>
      <w:tr>
        <w:trPr>
          <w:trHeight w:val="352"/>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22</w:t>
            </w:r>
          </w:p>
        </w:tc>
        <w:tc>
          <w:tcPr>
            <w:tcW w:w="12018" w:type="dxa"/>
            <w:vAlign w:val="center"/>
          </w:tcPr>
          <w:p>
            <w:pPr>
              <w:pStyle w:val="176"/>
              <w:jc w:val="left"/>
              <w:rPr>
                <w:rFonts w:ascii="宋体" w:eastAsia="宋体" w:cs="宋体"/>
                <w:sz w:val="24"/>
              </w:rPr>
            </w:pPr>
            <w:r>
              <w:rPr>
                <w:rFonts w:ascii="宋体" w:eastAsia="宋体" w:cs="Lucida Sans"/>
                <w:color w:val="auto"/>
                <w:sz w:val="24"/>
              </w:rPr>
              <w:t xml:space="preserve">BOS ISO 7203-2:2019灭火介质泡沫浓缩物第2部分：顶部应用于水不混溶液体的中高膨胀泡沫浓缩物规范。 </w:t>
            </w:r>
          </w:p>
        </w:tc>
      </w:tr>
      <w:tr>
        <w:trPr>
          <w:trHeight w:val="1019"/>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23</w:t>
            </w:r>
          </w:p>
        </w:tc>
        <w:tc>
          <w:tcPr>
            <w:tcW w:w="12018" w:type="dxa"/>
            <w:vAlign w:val="center"/>
          </w:tcPr>
          <w:p>
            <w:pPr>
              <w:pStyle w:val="177"/>
              <w:jc w:val="left"/>
              <w:rPr>
                <w:rFonts w:ascii="宋体" w:eastAsia="宋体" w:cs="宋体"/>
                <w:sz w:val="24"/>
              </w:rPr>
            </w:pPr>
            <w:r>
              <w:rPr>
                <w:rFonts w:ascii="宋体" w:eastAsia="宋体" w:cs="Lucida Sans"/>
                <w:color w:val="auto"/>
                <w:sz w:val="24"/>
              </w:rPr>
              <w:t xml:space="preserve">BOS ISO 6182-1:2021消防。自动喷水灭火系统。第1部分：喷水灭火系统的要求和试验方法。本文件规定了常规、喷雾、平喷、侧壁、扩展覆盖、家用和储藏式洒水喷头的性能和标记要求以及测试方法，包括用于水基消防系统的早期抑制快速响应、电激活洒水喷头和激活监测洒水喷头。本文件不适用于具有多个喷口的喷头。 </w:t>
            </w:r>
          </w:p>
        </w:tc>
      </w:tr>
      <w:tr>
        <w:trPr>
          <w:trHeight w:val="1237"/>
        </w:trPr>
        <w:tc>
          <w:tcPr>
            <w:tcW w:w="1411" w:type="dxa"/>
            <w:vMerge w:val="restart"/>
            <w:tcBorders>
              <w:tl2br w:val="nil"/>
              <w:tr2bl w:val="nil"/>
            </w:tcBorders>
            <w:vAlign w:val="center"/>
          </w:tcPr>
          <w:p>
            <w:pPr>
              <w:pStyle w:val="179"/>
              <w:jc w:val="center"/>
              <w:textAlignment w:val="center"/>
            </w:pPr>
            <w:r>
              <w:t>法国</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24</w:t>
            </w:r>
          </w:p>
        </w:tc>
        <w:tc>
          <w:tcPr>
            <w:tcW w:w="12018" w:type="dxa"/>
            <w:vAlign w:val="center"/>
          </w:tcPr>
          <w:p>
            <w:pPr>
              <w:jc w:val="left"/>
              <w:rPr>
                <w:rFonts w:ascii="宋体" w:eastAsia="宋体" w:cs="宋体"/>
                <w:sz w:val="24"/>
              </w:rPr>
            </w:pPr>
            <w:r>
              <w:rPr>
                <w:rFonts w:ascii="宋体" w:eastAsia="宋体" w:cs="Lucida Sans"/>
                <w:color w:val="auto"/>
                <w:sz w:val="24"/>
              </w:rPr>
              <w:t xml:space="preserve">制定肥料和栽培介质的农艺质量和安全标准的控制和标签程序。该法令规定了肥料和栽培介质的标签和控制规则。更具体地说：它规定了控制肥料和栽培介质的有效性和无有害影响的方法；修订关于肥料标签的现行条例，规定必须说明肥料和栽培介质的性质和使用规则；它规定了将“确定肥料和栽培介质的农艺质量和安全标准”的法令规定的安全和效率标准适用于目前授权的产品的过渡性规定。 </w:t>
            </w:r>
          </w:p>
        </w:tc>
      </w:tr>
      <w:tr>
        <w:trPr>
          <w:trHeight w:val="613"/>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25</w:t>
            </w:r>
          </w:p>
        </w:tc>
        <w:tc>
          <w:tcPr>
            <w:tcW w:w="12018" w:type="dxa"/>
            <w:vAlign w:val="center"/>
          </w:tcPr>
          <w:p>
            <w:pPr>
              <w:jc w:val="left"/>
              <w:rPr>
                <w:rFonts w:ascii="宋体" w:eastAsia="宋体" w:cs="宋体"/>
                <w:sz w:val="24"/>
              </w:rPr>
            </w:pPr>
            <w:r>
              <w:rPr>
                <w:rFonts w:ascii="宋体" w:eastAsia="宋体" w:cs="Lucida Sans"/>
                <w:color w:val="auto"/>
                <w:sz w:val="24"/>
              </w:rPr>
              <w:t xml:space="preserve">规定了使用肥料时微量金属元素和微量有机化合物的最大允许摄入量。该法令规定了评估肥料安全的价值和程序，涉及微量金属元素，多环芳烃和多氯联苯的最大允许摄入量。 </w:t>
            </w:r>
          </w:p>
        </w:tc>
      </w:tr>
      <w:tr>
        <w:trPr>
          <w:trHeight w:val="986"/>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26</w:t>
            </w:r>
          </w:p>
        </w:tc>
        <w:tc>
          <w:tcPr>
            <w:tcW w:w="12018" w:type="dxa"/>
            <w:vAlign w:val="center"/>
          </w:tcPr>
          <w:p>
            <w:pPr>
              <w:jc w:val="left"/>
              <w:rPr>
                <w:rFonts w:ascii="宋体" w:cs="Lucida Sans"/>
                <w:sz w:val="24"/>
              </w:rPr>
            </w:pPr>
            <w:r>
              <w:rPr>
                <w:rFonts w:ascii="宋体" w:eastAsia="宋体" w:cs="Lucida Sans"/>
                <w:color w:val="auto"/>
                <w:sz w:val="24"/>
              </w:rPr>
              <w:t xml:space="preserve">制定肥料和栽培介质的农艺质量和安全标准。该法令规定了投放市场和使用的肥料和栽培介质必须遵守的安全和农艺质量标准，特别是：根据其质量和用途，确定了四类肥料(A1，A2，B1和B2)；肥料和栽培介质的专业使用者；安全和农艺质量标准，其价值和评估方法由部长令确定。 </w:t>
            </w:r>
          </w:p>
        </w:tc>
      </w:tr>
      <w:tr>
        <w:trPr>
          <w:trHeight w:val="442"/>
        </w:trPr>
        <w:tc>
          <w:tcPr>
            <w:tcW w:w="1411" w:type="dxa"/>
            <w:vMerge w:val="restart"/>
            <w:tcBorders>
              <w:tl2br w:val="nil"/>
              <w:tr2bl w:val="nil"/>
            </w:tcBorders>
            <w:vAlign w:val="center"/>
          </w:tcPr>
          <w:p>
            <w:pPr>
              <w:pStyle w:val="160"/>
              <w:jc w:val="center"/>
              <w:textAlignment w:val="center"/>
            </w:pPr>
            <w:r>
              <w:t>菲律宾</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27</w:t>
            </w:r>
          </w:p>
        </w:tc>
        <w:tc>
          <w:tcPr>
            <w:tcW w:w="12018" w:type="dxa"/>
            <w:vAlign w:val="center"/>
          </w:tcPr>
          <w:p>
            <w:pPr>
              <w:jc w:val="left"/>
              <w:rPr>
                <w:rFonts w:ascii="宋体" w:eastAsia="宋体" w:cs="宋体"/>
                <w:sz w:val="24"/>
              </w:rPr>
            </w:pPr>
            <w:r>
              <w:rPr>
                <w:rFonts w:ascii="宋体" w:eastAsia="宋体" w:cs="Lucida Sans"/>
                <w:color w:val="auto"/>
                <w:sz w:val="24"/>
              </w:rPr>
              <w:t xml:space="preserve">拟供人使用的药品的分类。该政策为药品（即处方药、药剂师专用非处方药、一般销售非处方药或家庭疗法）的分类和重新分类提供了指导方针和法规。 </w:t>
            </w:r>
          </w:p>
        </w:tc>
      </w:tr>
      <w:tr>
        <w:trPr>
          <w:trHeight w:val="925"/>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28</w:t>
            </w:r>
          </w:p>
        </w:tc>
        <w:tc>
          <w:tcPr>
            <w:tcW w:w="12018" w:type="dxa"/>
            <w:vAlign w:val="center"/>
          </w:tcPr>
          <w:p>
            <w:pPr>
              <w:jc w:val="left"/>
              <w:rPr>
                <w:rFonts w:ascii="宋体" w:cs="Lucida Sans"/>
                <w:sz w:val="24"/>
              </w:rPr>
            </w:pPr>
            <w:r>
              <w:rPr>
                <w:rFonts w:ascii="宋体" w:eastAsia="宋体" w:cs="Lucida Sans"/>
                <w:color w:val="auto"/>
                <w:sz w:val="24"/>
              </w:rPr>
              <w:t xml:space="preserve">实施世界卫生组织（世卫组织）关于严格监管机构批准的药品注册的合作程序指南。该政策为严格监管机构根据世界卫生组织技术报告系列2018年第1010号附件11批准的药品实施世界卫生组织协作注册程序提供了指南。 </w:t>
            </w:r>
          </w:p>
        </w:tc>
      </w:tr>
      <w:tr>
        <w:trPr>
          <w:trHeight w:val="761"/>
        </w:trPr>
        <w:tc>
          <w:tcPr>
            <w:tcW w:w="1411" w:type="dxa"/>
            <w:tcBorders>
              <w:tl2br w:val="nil"/>
              <w:tr2bl w:val="nil"/>
            </w:tcBorders>
            <w:vAlign w:val="center"/>
          </w:tcPr>
          <w:p>
            <w:pPr>
              <w:pStyle w:val="139"/>
              <w:jc w:val="center"/>
              <w:textAlignment w:val="center"/>
            </w:pPr>
            <w:r>
              <w:t>哥斯达黎加</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29</w:t>
            </w:r>
          </w:p>
        </w:tc>
        <w:tc>
          <w:tcPr>
            <w:tcW w:w="12018" w:type="dxa"/>
            <w:vAlign w:val="center"/>
          </w:tcPr>
          <w:p>
            <w:pPr>
              <w:jc w:val="left"/>
              <w:rPr>
                <w:rFonts w:ascii="宋体" w:eastAsia="宋体" w:cs="宋体"/>
                <w:sz w:val="24"/>
              </w:rPr>
            </w:pPr>
            <w:r>
              <w:rPr>
                <w:rFonts w:ascii="宋体" w:eastAsia="宋体" w:cs="Lucida Sans"/>
                <w:color w:val="auto"/>
                <w:sz w:val="24"/>
              </w:rPr>
              <w:t xml:space="preserve">RTCR 523：2025加工食品和饮料纯咖啡豆或研磨咖啡规格和标签。该技术法规初稿规定了供人类消费的纯烘焙或研磨咖啡必须满足的质量和标签规范，并适用于在国家领土上销售的所有纯烘焙或研磨咖啡，无论是国内生产还是进口供人类消费。 </w:t>
            </w:r>
          </w:p>
        </w:tc>
      </w:tr>
      <w:tr>
        <w:trPr>
          <w:trHeight w:val="1173"/>
        </w:trPr>
        <w:tc>
          <w:tcPr>
            <w:tcW w:w="1411" w:type="dxa"/>
            <w:vMerge w:val="restart"/>
            <w:tcBorders>
              <w:tl2br w:val="nil"/>
              <w:tr2bl w:val="nil"/>
            </w:tcBorders>
            <w:vAlign w:val="center"/>
          </w:tcPr>
          <w:p>
            <w:pPr>
              <w:pStyle w:val="139"/>
              <w:jc w:val="center"/>
              <w:textAlignment w:val="center"/>
            </w:pPr>
            <w:r>
              <w:t>韩国</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30</w:t>
            </w:r>
          </w:p>
        </w:tc>
        <w:tc>
          <w:tcPr>
            <w:tcW w:w="12018" w:type="dxa"/>
            <w:vAlign w:val="center"/>
          </w:tcPr>
          <w:p>
            <w:pPr>
              <w:jc w:val="left"/>
              <w:rPr>
                <w:rFonts w:ascii="宋体" w:eastAsia="宋体" w:cs="宋体"/>
                <w:sz w:val="24"/>
              </w:rPr>
            </w:pPr>
            <w:r>
              <w:rPr>
                <w:rFonts w:ascii="宋体" w:eastAsia="宋体" w:cs="Lucida Sans"/>
                <w:color w:val="auto"/>
                <w:sz w:val="24"/>
              </w:rPr>
              <w:t xml:space="preserve">《电磁兼容技术规程》部分修订。本法规规定了专门用于站台屏蔽门的激光传感器对宽带辐射RF电磁场的电磁抗扰度的技术规范。该法规包括对《通报广播和通信设备合格评定》等的修订。附件1，在电磁兼容性目标设备清单中新增加了专用于站台屏蔽门的激光传感器。本法规包括对《通报广播和通信设备检测机构指定和管理》附件1的修订，新增加了专用于站台屏蔽门的激光传感器（或激光雷达传感器）的每个测试领域的测试项目。 </w:t>
            </w:r>
          </w:p>
        </w:tc>
      </w:tr>
      <w:tr>
        <w:trPr>
          <w:trHeight w:val="655"/>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31</w:t>
            </w:r>
          </w:p>
        </w:tc>
        <w:tc>
          <w:tcPr>
            <w:tcW w:w="12018" w:type="dxa"/>
            <w:vAlign w:val="center"/>
          </w:tcPr>
          <w:p>
            <w:pPr>
              <w:jc w:val="left"/>
              <w:rPr>
                <w:rFonts w:ascii="宋体" w:cs="宋体"/>
                <w:sz w:val="22"/>
              </w:rPr>
            </w:pPr>
            <w:r>
              <w:rPr>
                <w:rFonts w:ascii="宋体" w:eastAsia="宋体" w:cs="Lucida Sans"/>
                <w:color w:val="auto"/>
                <w:sz w:val="24"/>
              </w:rPr>
              <w:t xml:space="preserve">建议修订“食物标签标准”。食品和药物安全部希望修改食品标签标准中的以下声明。修订要点如下：1）改善无咖啡因咖啡的标签标准；2）加强酒精饮料合作产品的标签标准。 </w:t>
            </w:r>
          </w:p>
        </w:tc>
      </w:tr>
      <w:tr>
        <w:trPr>
          <w:trHeight w:val="925"/>
        </w:trPr>
        <w:tc>
          <w:tcPr>
            <w:tcW w:w="1413"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32</w:t>
            </w:r>
          </w:p>
        </w:tc>
        <w:tc>
          <w:tcPr>
            <w:tcW w:w="12018" w:type="dxa"/>
            <w:vAlign w:val="center"/>
          </w:tcPr>
          <w:p>
            <w:pPr>
              <w:jc w:val="left"/>
              <w:rPr>
                <w:rFonts w:ascii="宋体" w:eastAsia="宋体" w:cs="宋体"/>
                <w:sz w:val="24"/>
              </w:rPr>
            </w:pPr>
            <w:r>
              <w:rPr>
                <w:rFonts w:ascii="宋体" w:eastAsia="宋体" w:cs="Lucida Sans"/>
                <w:color w:val="auto"/>
                <w:sz w:val="24"/>
              </w:rPr>
              <w:t xml:space="preserve">《国民健康增进法施行规则》部分修订案。根据已修订的《国民健康增进法》该修订在警示信息中增加了禁止酒后驾车的内容，并允许在警示信息中使用图片和文字本次修订对标签上警示信息中警示文字和图片的呈现方式进行了修改。 </w:t>
            </w:r>
          </w:p>
        </w:tc>
      </w:tr>
      <w:tr>
        <w:trPr>
          <w:trHeight w:val="453"/>
        </w:trPr>
        <w:tc>
          <w:tcPr>
            <w:tcW w:w="1413"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33</w:t>
            </w:r>
          </w:p>
        </w:tc>
        <w:tc>
          <w:tcPr>
            <w:tcW w:w="12018" w:type="dxa"/>
            <w:vAlign w:val="center"/>
          </w:tcPr>
          <w:p>
            <w:pPr>
              <w:pStyle w:val="62"/>
              <w:jc w:val="left"/>
              <w:rPr>
                <w:rFonts w:ascii="宋体" w:cs="Lucida Sans"/>
                <w:sz w:val="24"/>
              </w:rPr>
            </w:pPr>
            <w:r>
              <w:rPr>
                <w:rFonts w:ascii="宋体" w:eastAsia="宋体" w:cs="Lucida Sans"/>
                <w:color w:val="auto"/>
                <w:sz w:val="24"/>
              </w:rPr>
              <w:t xml:space="preserve">过度饮酒警示信息告示全面修订草案。根据已修订的《国民健康增进法》该修订在警示信息中增加了禁止酒后驾车的内容，并允许在警示信息中使用图片和文字本次修订对标签上警示信息中的警示文字和图片内容进行了修改。 </w:t>
            </w:r>
          </w:p>
        </w:tc>
      </w:tr>
      <w:tr>
        <w:trPr>
          <w:trHeight w:val="1011"/>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34</w:t>
            </w:r>
          </w:p>
        </w:tc>
        <w:tc>
          <w:tcPr>
            <w:tcW w:w="12018" w:type="dxa"/>
            <w:vAlign w:val="center"/>
          </w:tcPr>
          <w:p>
            <w:pPr>
              <w:pStyle w:val="63"/>
              <w:jc w:val="left"/>
              <w:rPr>
                <w:rFonts w:ascii="宋体" w:eastAsia="宋体" w:cs="宋体"/>
                <w:sz w:val="24"/>
              </w:rPr>
            </w:pPr>
            <w:r>
              <w:rPr>
                <w:rFonts w:ascii="宋体" w:eastAsia="宋体" w:cs="Lucida Sans"/>
                <w:color w:val="auto"/>
                <w:sz w:val="24"/>
              </w:rPr>
              <w:t xml:space="preserve">简易无线电台、空间站、地面站、无线电波探测等无线电设备的无线电设备技术标准修订草案。重组地球站的共同条件。该条例规管在其他无线电台或无线电设备的发射管制下，在固定卫星服务频段内运作的地面站的无线电发射规例。对有关无线电设备进行合格评定的补充规定。 </w:t>
            </w:r>
          </w:p>
        </w:tc>
      </w:tr>
      <w:tr>
        <w:trPr>
          <w:trHeight w:val="751"/>
        </w:trPr>
        <w:tc>
          <w:tcPr>
            <w:tcW w:w="1411" w:type="dxa"/>
            <w:tcBorders>
              <w:tl2br w:val="nil"/>
              <w:tr2bl w:val="nil"/>
            </w:tcBorders>
            <w:vAlign w:val="center"/>
          </w:tcPr>
          <w:p>
            <w:pPr>
              <w:pStyle w:val="165"/>
              <w:jc w:val="center"/>
            </w:pPr>
            <w:r>
              <w:rPr>
                <w:rFonts w:ascii="宋体" w:eastAsia="宋体" w:cs="Lucida Sans"/>
                <w:color w:val="auto"/>
                <w:sz w:val="24"/>
              </w:rPr>
              <w:t>吉尔吉斯斯坦</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35</w:t>
            </w:r>
          </w:p>
        </w:tc>
        <w:tc>
          <w:tcPr>
            <w:tcW w:w="12018" w:type="dxa"/>
            <w:vAlign w:val="center"/>
          </w:tcPr>
          <w:p>
            <w:pPr>
              <w:pStyle w:val="117"/>
              <w:jc w:val="left"/>
              <w:rPr>
                <w:rFonts w:ascii="宋体" w:eastAsia="宋体" w:cs="宋体"/>
                <w:sz w:val="24"/>
              </w:rPr>
            </w:pPr>
            <w:r>
              <w:rPr>
                <w:rFonts w:ascii="宋体" w:eastAsia="宋体" w:cs="Lucida Sans"/>
                <w:color w:val="auto"/>
                <w:sz w:val="24"/>
              </w:rPr>
              <w:t xml:space="preserve">欧亚经济联盟良好生产规范规则修正案草案。《药品生产质量管理规范》补充了与现行版《欧盟药品生产质量管理规范》和相关国际标准相一致的高科技药品生产要求，以确保特定类别药品生产过程的质量稳定，从而及时识别生产过程中的偏差，从而导致成品被认定为不合格。 </w:t>
            </w:r>
          </w:p>
        </w:tc>
      </w:tr>
      <w:tr>
        <w:trPr>
          <w:trHeight w:val="613"/>
        </w:trPr>
        <w:tc>
          <w:tcPr>
            <w:tcW w:w="1411" w:type="dxa"/>
            <w:tcBorders>
              <w:tl2br w:val="nil"/>
              <w:tr2bl w:val="nil"/>
            </w:tcBorders>
            <w:vAlign w:val="center"/>
          </w:tcPr>
          <w:p>
            <w:pPr>
              <w:pStyle w:val="165"/>
              <w:jc w:val="center"/>
            </w:pPr>
            <w:r>
              <w:t>加拿大</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36</w:t>
            </w:r>
          </w:p>
        </w:tc>
        <w:tc>
          <w:tcPr>
            <w:tcW w:w="12018" w:type="dxa"/>
            <w:vAlign w:val="center"/>
          </w:tcPr>
          <w:p>
            <w:pPr>
              <w:pStyle w:val="118"/>
              <w:jc w:val="left"/>
              <w:rPr>
                <w:rFonts w:ascii="宋体" w:eastAsia="宋体" w:cs="宋体"/>
                <w:sz w:val="24"/>
              </w:rPr>
            </w:pPr>
            <w:r>
              <w:rPr>
                <w:rFonts w:ascii="宋体" w:eastAsia="宋体" w:cs="Lucida Sans"/>
                <w:color w:val="auto"/>
                <w:sz w:val="24"/>
              </w:rPr>
              <w:t xml:space="preserve">修订《医疗器械（机构许可证）条例》的条例。该提案兑现了加拿大卫生部在部门前瞻性监管和库存审查计划中规定的第二阶段承诺，以实现医疗器械机构许可（MDEL）框架的现代化，同时使监管机构能够更好地管理新出现的健康和安全风险。拟议的修正案将：取消对拥有MDEL的进口商从拥有MDEL的外国经销商处进口的要求。要求所有MDEL申请人提供供应商信息作为其MDEL申请的一部分，并在年度许可证审查时每年更新一次供应商信息明确要求制造商、进口商和分销商建立、实施和维护与其安全管理活动相关的所有文件化程序。在加拿大销售的大部分医疗器械都是进口的，越来越多的供应商向加拿大市场提供医疗器械。除了在新冠肺炎疫情期间对监管灵活性的试验之外，这表明有必要更新当前的框架，使加拿大卫生部能够继续对医疗器械提供高效、有效和灵活的监管，以保护加拿大人民的健康和安全。 </w:t>
            </w:r>
          </w:p>
        </w:tc>
      </w:tr>
      <w:tr>
        <w:trPr>
          <w:trHeight w:val="613"/>
        </w:trPr>
        <w:tc>
          <w:tcPr>
            <w:tcW w:w="1411" w:type="dxa"/>
            <w:vMerge w:val="restart"/>
            <w:tcBorders>
              <w:tl2br w:val="nil"/>
              <w:tr2bl w:val="nil"/>
            </w:tcBorders>
            <w:vAlign w:val="center"/>
          </w:tcPr>
          <w:p>
            <w:pPr>
              <w:pStyle w:val="165"/>
              <w:jc w:val="center"/>
            </w:pPr>
            <w:r>
              <w:t>卢旺达</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37</w:t>
            </w:r>
          </w:p>
        </w:tc>
        <w:tc>
          <w:tcPr>
            <w:tcW w:w="12018" w:type="dxa"/>
            <w:vAlign w:val="center"/>
          </w:tcPr>
          <w:p>
            <w:pPr>
              <w:pStyle w:val="123"/>
              <w:jc w:val="left"/>
              <w:rPr>
                <w:rFonts w:ascii="宋体" w:cs="Lucida Sans"/>
                <w:sz w:val="24"/>
              </w:rPr>
            </w:pPr>
            <w:r>
              <w:rPr>
                <w:rFonts w:ascii="宋体" w:eastAsia="宋体" w:cs="Lucida Sans"/>
                <w:color w:val="auto"/>
                <w:sz w:val="24"/>
              </w:rPr>
              <w:t xml:space="preserve">DRS 618-1:2025，丙溴磷农药规范第1部分：技术材料。本卢旺达标准草案规定了丙溴磷农药原药的要求、取样和试验方法。 </w:t>
            </w:r>
          </w:p>
        </w:tc>
      </w:tr>
      <w:tr>
        <w:trPr>
          <w:trHeight w:val="613"/>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38</w:t>
            </w:r>
          </w:p>
        </w:tc>
        <w:tc>
          <w:tcPr>
            <w:tcW w:w="12018" w:type="dxa"/>
            <w:vAlign w:val="center"/>
          </w:tcPr>
          <w:p>
            <w:pPr>
              <w:pStyle w:val="124"/>
              <w:jc w:val="left"/>
              <w:rPr>
                <w:rFonts w:ascii="宋体" w:eastAsia="宋体" w:cs="宋体"/>
                <w:sz w:val="24"/>
              </w:rPr>
            </w:pPr>
            <w:r>
              <w:rPr>
                <w:rFonts w:ascii="宋体" w:eastAsia="宋体" w:cs="Lucida Sans"/>
                <w:color w:val="auto"/>
                <w:sz w:val="24"/>
              </w:rPr>
              <w:t xml:space="preserve">DRS 618-3:2025，丙溴磷农药规范第3部分：超低容量液体。本卢旺达标准草案规定了用于植物保护目的的超低容量液体形式的丙溴磷农药技术材料的要求、取样和测试方法。 </w:t>
            </w:r>
          </w:p>
        </w:tc>
      </w:tr>
      <w:tr>
        <w:trPr>
          <w:trHeight w:val="925"/>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39</w:t>
            </w:r>
          </w:p>
        </w:tc>
        <w:tc>
          <w:tcPr>
            <w:tcW w:w="12018" w:type="dxa"/>
            <w:vAlign w:val="center"/>
          </w:tcPr>
          <w:p>
            <w:pPr>
              <w:pStyle w:val="125"/>
              <w:jc w:val="left"/>
              <w:rPr>
                <w:rFonts w:ascii="宋体" w:eastAsia="宋体" w:cs="宋体"/>
                <w:sz w:val="24"/>
              </w:rPr>
            </w:pPr>
            <w:r>
              <w:rPr>
                <w:rFonts w:ascii="宋体" w:eastAsia="宋体" w:cs="Lucida Sans"/>
                <w:color w:val="auto"/>
                <w:sz w:val="24"/>
              </w:rPr>
              <w:t xml:space="preserve">DRS 619：2025，竹子种植园指南。标准为用于建筑目的的竹子的种植实践、收获和收获后提供了指南。它适用于生长在卢旺达的可用于建筑目的的常见竹种，包括但不限于巨竹，几乎没有调整，但是，它可以适用于所有共生竹种。 </w:t>
            </w:r>
          </w:p>
        </w:tc>
      </w:tr>
      <w:tr>
        <w:trPr>
          <w:trHeight w:val="896"/>
        </w:trPr>
        <w:tc>
          <w:tcPr>
            <w:tcW w:w="1411" w:type="dxa"/>
            <w:tcBorders>
              <w:tl2br w:val="nil"/>
              <w:tr2bl w:val="nil"/>
            </w:tcBorders>
            <w:vAlign w:val="center"/>
          </w:tcPr>
          <w:p>
            <w:pPr>
              <w:pStyle w:val="144"/>
              <w:jc w:val="center"/>
            </w:pPr>
            <w:r>
              <w:t>马拉维</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40</w:t>
            </w:r>
          </w:p>
        </w:tc>
        <w:tc>
          <w:tcPr>
            <w:tcW w:w="12018" w:type="dxa"/>
            <w:vAlign w:val="center"/>
          </w:tcPr>
          <w:p>
            <w:pPr>
              <w:pStyle w:val="126"/>
              <w:jc w:val="left"/>
              <w:rPr>
                <w:rFonts w:ascii="宋体" w:cs="Lucida Sans"/>
                <w:sz w:val="24"/>
              </w:rPr>
            </w:pPr>
            <w:r>
              <w:rPr>
                <w:rFonts w:ascii="宋体" w:eastAsia="宋体" w:cs="Lucida Sans"/>
                <w:color w:val="auto"/>
                <w:sz w:val="24"/>
              </w:rPr>
              <w:t xml:space="preserve">DMS 5:2022地上排水设施用未增塑聚氯乙烯管道和管件规范。本草案标准涵盖硬质聚氯乙烯管（包括通气管和公称尺寸40毫米至160毫米的管件），拟用于地面非压力应用，输送温度持续不超过60°C的粪便（人类排泄物）和废水。 </w:t>
            </w:r>
          </w:p>
        </w:tc>
      </w:tr>
      <w:tr>
        <w:trPr>
          <w:trHeight w:val="925"/>
        </w:trPr>
        <w:tc>
          <w:tcPr>
            <w:tcW w:w="1411" w:type="dxa"/>
            <w:vMerge w:val="restart"/>
            <w:tcBorders>
              <w:tl2br w:val="nil"/>
              <w:tr2bl w:val="nil"/>
            </w:tcBorders>
            <w:vAlign w:val="center"/>
          </w:tcPr>
          <w:p>
            <w:pPr>
              <w:pStyle w:val="144"/>
              <w:jc w:val="center"/>
            </w:pPr>
            <w:r>
              <w:t>马来西亚</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41</w:t>
            </w:r>
          </w:p>
        </w:tc>
        <w:tc>
          <w:tcPr>
            <w:tcW w:w="12018" w:type="dxa"/>
            <w:vAlign w:val="center"/>
          </w:tcPr>
          <w:p>
            <w:pPr>
              <w:pStyle w:val="122"/>
              <w:jc w:val="left"/>
              <w:rPr>
                <w:rFonts w:ascii="宋体" w:eastAsia="宋体" w:cs="宋体"/>
                <w:sz w:val="24"/>
              </w:rPr>
            </w:pPr>
            <w:r>
              <w:rPr>
                <w:rFonts w:ascii="宋体" w:eastAsia="宋体" w:cs="Lucida Sans"/>
                <w:color w:val="auto"/>
                <w:sz w:val="24"/>
              </w:rPr>
              <w:t xml:space="preserve">陆地移动无线电设备技术规范规范（第二修订版）（MCMC MTSFB TC T012：2025）。本技术规范是为了根据2000年通信和多媒体（技术标准）条例[P.U.(a)124/2000]第14条认证通信设备而制定的。技术规范规定了陆地移动无线电设备的最低技术要求，包括基站、中继站、移动站和用于语音和/或数据通信的手持终端。陆地移动无线电设备应在文件表B.1中规定的指定频段、信道间隔和发射功率电平内运行。 </w:t>
            </w:r>
          </w:p>
        </w:tc>
      </w:tr>
      <w:tr>
        <w:trPr>
          <w:trHeight w:val="598"/>
        </w:trPr>
        <w:tc>
          <w:tcPr>
            <w:tcW w:w="1413"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42</w:t>
            </w:r>
          </w:p>
        </w:tc>
        <w:tc>
          <w:tcPr>
            <w:tcW w:w="12018" w:type="dxa"/>
            <w:vAlign w:val="center"/>
          </w:tcPr>
          <w:p>
            <w:pPr>
              <w:jc w:val="left"/>
              <w:rPr>
                <w:rFonts w:ascii="宋体" w:eastAsia="宋体" w:cs="宋体"/>
                <w:sz w:val="24"/>
              </w:rPr>
            </w:pPr>
            <w:r>
              <w:rPr>
                <w:rFonts w:ascii="宋体" w:eastAsia="宋体" w:cs="Lucida Sans"/>
                <w:color w:val="auto"/>
                <w:sz w:val="24"/>
              </w:rPr>
              <w:t xml:space="preserve">饲料（饲料或饲料添加剂的取样）法规202X 规定为商业、技术和法律目的对饲料或饲料添加剂进行质量控制的取样方法的法规。 </w:t>
            </w:r>
          </w:p>
        </w:tc>
      </w:tr>
      <w:tr>
        <w:trPr>
          <w:trHeight w:val="930"/>
        </w:trPr>
        <w:tc>
          <w:tcPr>
            <w:tcW w:w="1411" w:type="dxa"/>
            <w:vMerge w:val="restart"/>
            <w:tcBorders>
              <w:tl2br w:val="nil"/>
              <w:tr2bl w:val="nil"/>
            </w:tcBorders>
            <w:vAlign w:val="center"/>
          </w:tcPr>
          <w:p>
            <w:pPr>
              <w:pStyle w:val="145"/>
              <w:jc w:val="center"/>
            </w:pPr>
            <w:r>
              <w:t>尼日利亚</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43</w:t>
            </w:r>
          </w:p>
        </w:tc>
        <w:tc>
          <w:tcPr>
            <w:tcW w:w="12018" w:type="dxa"/>
            <w:vAlign w:val="center"/>
          </w:tcPr>
          <w:p>
            <w:pPr>
              <w:jc w:val="left"/>
              <w:rPr>
                <w:rFonts w:ascii="宋体" w:cs="Lucida Sans"/>
                <w:sz w:val="24"/>
              </w:rPr>
            </w:pPr>
            <w:r>
              <w:rPr>
                <w:rFonts w:ascii="宋体" w:eastAsia="宋体" w:cs="Lucida Sans"/>
                <w:color w:val="auto"/>
                <w:sz w:val="24"/>
              </w:rPr>
              <w:t xml:space="preserve">DNIS 1227：2025，非洲传统医学第1部分椰子油第一版。本尼日利亚国家标准草案规定了初榨椰子油和精炼椰子油的质量和安全要求、包装、取样和测试参考方法，这些椰子油来自椰子仁，用于传统医学和工业目的。 </w:t>
            </w:r>
          </w:p>
        </w:tc>
      </w:tr>
      <w:tr>
        <w:trPr>
          <w:trHeight w:val="847"/>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44</w:t>
            </w:r>
          </w:p>
        </w:tc>
        <w:tc>
          <w:tcPr>
            <w:tcW w:w="12018" w:type="dxa"/>
            <w:vAlign w:val="center"/>
          </w:tcPr>
          <w:p>
            <w:pPr>
              <w:jc w:val="left"/>
              <w:rPr>
                <w:rFonts w:ascii="宋体" w:eastAsia="宋体" w:cs="宋体"/>
                <w:sz w:val="24"/>
              </w:rPr>
            </w:pPr>
            <w:r>
              <w:rPr>
                <w:rFonts w:ascii="宋体" w:eastAsia="宋体" w:cs="Lucida Sans"/>
                <w:color w:val="auto"/>
                <w:sz w:val="24"/>
              </w:rPr>
              <w:t xml:space="preserve">NAFDAC小麦粗面粉和硬粒小麦粗面粉法规2025 。国家食品药品监督管理局提供了一个监管框架，用于监管在尼日利亚生产、进口、出口、广告、销售、分销或使用的小麦粗面粉、全麦粗面粉、硬粒小麦粗面粉和全硬粒小麦粗面粉。该法规规定了质量要求、允许的食品添加剂，并设定了产品中重金属、赭曲霉毒素A污染物的最大限量，以保护消费者的健康和安全。 </w:t>
            </w:r>
          </w:p>
        </w:tc>
      </w:tr>
      <w:tr>
        <w:trPr>
          <w:trHeight w:val="1313"/>
        </w:trPr>
        <w:tc>
          <w:tcPr>
            <w:tcW w:w="1411" w:type="dxa"/>
            <w:vMerge w:val="restart"/>
            <w:tcBorders>
              <w:tl2br w:val="nil"/>
              <w:tr2bl w:val="nil"/>
            </w:tcBorders>
            <w:vAlign w:val="center"/>
          </w:tcPr>
          <w:p>
            <w:pPr>
              <w:pStyle w:val="166"/>
              <w:jc w:val="center"/>
            </w:pPr>
            <w:r>
              <w:t>欧盟</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45</w:t>
            </w:r>
          </w:p>
        </w:tc>
        <w:tc>
          <w:tcPr>
            <w:tcW w:w="12018" w:type="dxa"/>
            <w:vAlign w:val="center"/>
          </w:tcPr>
          <w:p>
            <w:pPr>
              <w:jc w:val="left"/>
              <w:rPr>
                <w:rFonts w:ascii="宋体" w:eastAsia="宋体" w:cs="宋体"/>
                <w:sz w:val="24"/>
              </w:rPr>
            </w:pPr>
            <w:r>
              <w:rPr>
                <w:rFonts w:ascii="宋体" w:eastAsia="宋体" w:cs="Lucida Sans"/>
                <w:color w:val="auto"/>
                <w:sz w:val="24"/>
              </w:rPr>
              <w:t xml:space="preserve">欧盟委员会授权法规草案。修订授权法规 (EU) 2016/127，涉及以蛋白质水解物生产的婴儿及较大婴儿配方食品的蛋白质相关要求  本授权法规旨在基于欧洲食品安全局的相关科学意见，通过修订法规(EU) 2016/127中针对以蛋白质水解物生产的婴儿及较大婴儿配方食品的蛋白质含量、蛋白质来源、蛋白质加工工艺和蛋白质质量的成分要求，对欧盟委员会授权法规(EU) 2016/127进行修正。 </w:t>
            </w:r>
          </w:p>
        </w:tc>
      </w:tr>
      <w:tr>
        <w:trPr>
          <w:trHeight w:val="409"/>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46</w:t>
            </w:r>
          </w:p>
        </w:tc>
        <w:tc>
          <w:tcPr>
            <w:tcW w:w="12018" w:type="dxa"/>
            <w:vAlign w:val="center"/>
          </w:tcPr>
          <w:p>
            <w:pPr>
              <w:jc w:val="left"/>
              <w:rPr>
                <w:rFonts w:ascii="宋体" w:eastAsia="宋体" w:cs="宋体"/>
                <w:sz w:val="24"/>
              </w:rPr>
            </w:pPr>
            <w:r>
              <w:rPr>
                <w:rFonts w:ascii="宋体" w:eastAsia="宋体" w:cs="Lucida Sans"/>
                <w:color w:val="auto"/>
                <w:sz w:val="24"/>
              </w:rPr>
              <w:t xml:space="preserve">修订关于某些物质统一分类和标签的第1272/2008号条例（欧共体）的委员会授权条例草案。本适应关于物质和混合物分类、标签和包装的法规（EC）1272/2008（CLP法规）的技术进步提案草案的目的是修订CLP法规附件VI第3部分的表3，为48种物质或物质组的协调分类和标签引入新的和修订的条目。 </w:t>
            </w:r>
          </w:p>
        </w:tc>
      </w:tr>
      <w:tr>
        <w:trPr>
          <w:trHeight w:val="613"/>
        </w:trPr>
        <w:tc>
          <w:tcPr>
            <w:tcW w:w="1411" w:type="dxa"/>
            <w:vMerge w:val="restart"/>
            <w:tcBorders>
              <w:tl2br w:val="nil"/>
              <w:tr2bl w:val="nil"/>
            </w:tcBorders>
            <w:vAlign w:val="center"/>
          </w:tcPr>
          <w:p>
            <w:pPr>
              <w:pStyle w:val="180"/>
              <w:jc w:val="center"/>
            </w:pPr>
            <w:r>
              <w:t>沙特阿拉伯</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47</w:t>
            </w:r>
          </w:p>
        </w:tc>
        <w:tc>
          <w:tcPr>
            <w:tcW w:w="12018" w:type="dxa"/>
            <w:vAlign w:val="center"/>
          </w:tcPr>
          <w:p>
            <w:pPr>
              <w:jc w:val="left"/>
              <w:rPr>
                <w:rFonts w:ascii="宋体" w:eastAsia="宋体" w:cs="宋体"/>
                <w:sz w:val="24"/>
              </w:rPr>
            </w:pPr>
            <w:r>
              <w:rPr>
                <w:rFonts w:ascii="宋体" w:eastAsia="宋体" w:cs="Lucida Sans"/>
                <w:color w:val="auto"/>
                <w:sz w:val="24"/>
              </w:rPr>
              <w:t xml:space="preserve">公共卫生农药的运输。该技术法规草案规定了管理公共卫生农药运输的要求和控制措施。旨在确保参与运输活动的个人的安全和保护，保护环境免受潜在污染或化学危害，并在整个运输链中保持农药的质量和有效性。 </w:t>
            </w:r>
          </w:p>
        </w:tc>
      </w:tr>
      <w:tr>
        <w:trPr>
          <w:trHeight w:val="613"/>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4</w:t>
            </w:r>
            <w:r>
              <w:rPr>
                <w:rFonts w:ascii="Times New Roman" w:cs="Times New Roman" w:hAnsi="Times New Roman"/>
                <w:color w:val="000000"/>
                <w:sz w:val="22"/>
                <w:szCs w:val="22"/>
              </w:rPr>
              <w:t>8</w:t>
            </w:r>
          </w:p>
        </w:tc>
        <w:tc>
          <w:tcPr>
            <w:tcW w:w="12018" w:type="dxa"/>
            <w:vAlign w:val="center"/>
          </w:tcPr>
          <w:p>
            <w:pPr>
              <w:jc w:val="left"/>
              <w:rPr>
                <w:rFonts w:ascii="宋体" w:eastAsia="宋体" w:cs="宋体"/>
                <w:sz w:val="22"/>
              </w:rPr>
            </w:pPr>
            <w:r>
              <w:rPr>
                <w:rFonts w:ascii="宋体" w:eastAsia="宋体" w:cs="Lucida Sans"/>
                <w:color w:val="auto"/>
                <w:sz w:val="24"/>
              </w:rPr>
              <w:t xml:space="preserve">沙特食品和药品管理局2025年11月5日第20499号行政命令通知，暂时禁止进口原产于法国旺代的禽肉、蛋及其产品 根据WOAH 2025年10月23日的报告，法国旺代爆发了高致病性禽流感(HPAI)病毒。根据世界动物卫生组织（WOAH）陆生动物卫生法规第10.4章，沙特阿拉伯有必要防止HPAI病毒进入该国。因此，暂时停止从法国旺代进口禽肉、禽蛋及其产品（暴露于高温或其他确保灭活高致病性禽流感病毒的处理的加工禽肉和禽蛋产品除外，只要符合批准的卫生要求和标准，并由法国官方机构签发卫生证书证明产品不含病毒）。 </w:t>
            </w:r>
          </w:p>
        </w:tc>
      </w:tr>
      <w:tr>
        <w:trPr>
          <w:trHeight w:val="613"/>
        </w:trPr>
        <w:tc>
          <w:tcPr>
            <w:tcW w:w="1411" w:type="dxa"/>
            <w:tcBorders>
              <w:tl2br w:val="nil"/>
              <w:tr2bl w:val="nil"/>
            </w:tcBorders>
            <w:vAlign w:val="center"/>
          </w:tcPr>
          <w:p>
            <w:pPr>
              <w:pStyle w:val="146"/>
              <w:jc w:val="center"/>
            </w:p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49</w:t>
            </w:r>
          </w:p>
        </w:tc>
        <w:tc>
          <w:tcPr>
            <w:tcW w:w="12018" w:type="dxa"/>
            <w:vAlign w:val="center"/>
          </w:tcPr>
          <w:p>
            <w:pPr>
              <w:pStyle w:val="64"/>
              <w:jc w:val="left"/>
              <w:rPr>
                <w:rFonts w:ascii="宋体" w:cs="Lucida Sans"/>
                <w:sz w:val="24"/>
              </w:rPr>
            </w:pPr>
            <w:r>
              <w:rPr>
                <w:rFonts w:ascii="宋体" w:eastAsia="宋体" w:cs="Lucida Sans"/>
                <w:color w:val="auto"/>
                <w:sz w:val="24"/>
              </w:rPr>
              <w:t xml:space="preserve">MEDC 3（3742）DTZS，道路车辆。机动车辆和拖车的逆反射登记号牌。规范，第四版，第一版。本标准草案规定了使用液化石油气作为车用燃料的加气站液化石油气储存和分配设施的设计、建造、安装、测试和调试、操作、维护、布局的要求。它包括储罐、泵、分配器、配件、管道、卸载设施、电气设备和消防 </w:t>
            </w:r>
          </w:p>
        </w:tc>
      </w:tr>
      <w:tr>
        <w:trPr>
          <w:trHeight w:val="579"/>
        </w:trPr>
        <w:tc>
          <w:tcPr>
            <w:tcW w:w="1411" w:type="dxa"/>
            <w:vMerge w:val="restart"/>
            <w:tcBorders>
              <w:tl2br w:val="nil"/>
              <w:tr2bl w:val="nil"/>
            </w:tcBorders>
            <w:vAlign w:val="center"/>
          </w:tcPr>
          <w:p>
            <w:pPr>
              <w:pStyle w:val="181"/>
              <w:jc w:val="center"/>
              <w:textAlignment w:val="center"/>
            </w:pPr>
            <w:r>
              <w:t>坦桑尼亚</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0</w:t>
            </w:r>
          </w:p>
        </w:tc>
        <w:tc>
          <w:tcPr>
            <w:tcW w:w="12018" w:type="dxa"/>
            <w:vAlign w:val="center"/>
          </w:tcPr>
          <w:p>
            <w:pPr>
              <w:jc w:val="left"/>
              <w:rPr>
                <w:rFonts w:ascii="宋体" w:eastAsia="宋体" w:cs="宋体"/>
                <w:sz w:val="22"/>
              </w:rPr>
            </w:pPr>
            <w:r>
              <w:rPr>
                <w:rFonts w:ascii="宋体" w:eastAsia="宋体" w:cs="Lucida Sans"/>
                <w:color w:val="auto"/>
                <w:sz w:val="24"/>
              </w:rPr>
              <w:t xml:space="preserve">RCD 739：2025，干生海藻规范，第一版。该标准草案规定了供人类食用的干生海藻的要求、取样和测试方法。 </w:t>
            </w:r>
          </w:p>
        </w:tc>
      </w:tr>
      <w:tr>
        <w:trPr>
          <w:trHeight w:val="720"/>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1</w:t>
            </w:r>
          </w:p>
        </w:tc>
        <w:tc>
          <w:tcPr>
            <w:tcW w:w="12018" w:type="dxa"/>
            <w:vAlign w:val="center"/>
          </w:tcPr>
          <w:p>
            <w:pPr>
              <w:jc w:val="left"/>
              <w:rPr>
                <w:rFonts w:ascii="宋体" w:cs="Lucida Sans"/>
                <w:sz w:val="24"/>
              </w:rPr>
            </w:pPr>
            <w:r>
              <w:rPr>
                <w:rFonts w:ascii="宋体" w:eastAsia="宋体" w:cs="Lucida Sans"/>
                <w:color w:val="auto"/>
                <w:sz w:val="24"/>
              </w:rPr>
              <w:t>MEDC 12（3857）DTZS，固体燃料炉灶第1部分：一般要求和试验方法，第三版。该标准规定了固体燃料炉灶的分类、效率、耐用性、安全性、排放、要求和测试方法。本标准适用于使用天然或致密形式固体燃料的炉灶。</w:t>
            </w:r>
          </w:p>
        </w:tc>
      </w:tr>
      <w:tr>
        <w:trPr>
          <w:trHeight w:val="741"/>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2</w:t>
            </w:r>
          </w:p>
        </w:tc>
        <w:tc>
          <w:tcPr>
            <w:tcW w:w="12018" w:type="dxa"/>
            <w:vAlign w:val="center"/>
          </w:tcPr>
          <w:p>
            <w:pPr>
              <w:jc w:val="left"/>
              <w:rPr>
                <w:rFonts w:ascii="宋体" w:eastAsia="宋体" w:cs="宋体"/>
                <w:sz w:val="24"/>
              </w:rPr>
            </w:pPr>
            <w:r>
              <w:rPr>
                <w:rFonts w:ascii="宋体" w:eastAsia="宋体" w:cs="Lucida Sans"/>
                <w:color w:val="auto"/>
                <w:sz w:val="24"/>
              </w:rPr>
              <w:t>DEAS 1302：2025，用作烹饪和电器燃料的变性乙醇规范，第一版。该标准草案规定了用作烹饪或取暖设备燃料或两者兼而有之的变性乙醇的要求、取样和测试方法。</w:t>
            </w:r>
          </w:p>
        </w:tc>
      </w:tr>
      <w:tr>
        <w:trPr>
          <w:trHeight w:val="741"/>
        </w:trPr>
        <w:tc>
          <w:tcPr>
            <w:tcW w:w="1411" w:type="dxa"/>
            <w:tcBorders>
              <w:tl2br w:val="nil"/>
              <w:tr2bl w:val="nil"/>
            </w:tcBorders>
            <w:vAlign w:val="center"/>
          </w:tcPr>
          <w:p>
            <w:pPr>
              <w:pStyle w:val="59"/>
              <w:jc w:val="center"/>
              <w:textAlignment w:val="center"/>
            </w:pPr>
            <w:r>
              <w:t>新西兰</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3</w:t>
            </w:r>
          </w:p>
        </w:tc>
        <w:tc>
          <w:tcPr>
            <w:tcW w:w="12018" w:type="dxa"/>
            <w:vAlign w:val="center"/>
          </w:tcPr>
          <w:p>
            <w:pPr>
              <w:pStyle w:val="128"/>
              <w:jc w:val="left"/>
              <w:rPr>
                <w:rFonts w:ascii="宋体" w:eastAsia="宋体" w:cs="宋体"/>
                <w:sz w:val="24"/>
              </w:rPr>
            </w:pPr>
            <w:r>
              <w:rPr>
                <w:rFonts w:ascii="宋体" w:eastAsia="宋体" w:cs="Lucida Sans"/>
                <w:color w:val="auto"/>
                <w:sz w:val="24"/>
              </w:rPr>
              <w:t>提案P1056咖啡因审查的咨询文件。该提案建议：禁止零售含咖啡因的食品，并禁止在零售食品中添加咖啡因，除非明确允许明确允许在配制的补充运动食品中添加咖啡因，但须遵守成分、包装和标签要求。</w:t>
            </w:r>
          </w:p>
        </w:tc>
      </w:tr>
      <w:tr>
        <w:trPr>
          <w:trHeight w:val="925"/>
        </w:trPr>
        <w:tc>
          <w:tcPr>
            <w:tcW w:w="1411" w:type="dxa"/>
            <w:tcBorders>
              <w:tl2br w:val="nil"/>
              <w:tr2bl w:val="nil"/>
            </w:tcBorders>
            <w:vAlign w:val="center"/>
          </w:tcPr>
          <w:p>
            <w:pPr>
              <w:pStyle w:val="59"/>
              <w:jc w:val="center"/>
              <w:textAlignment w:val="center"/>
            </w:pPr>
            <w:r>
              <w:t>土耳其</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4</w:t>
            </w:r>
          </w:p>
        </w:tc>
        <w:tc>
          <w:tcPr>
            <w:tcW w:w="12018" w:type="dxa"/>
            <w:vAlign w:val="center"/>
          </w:tcPr>
          <w:p>
            <w:pPr>
              <w:pStyle w:val="129"/>
              <w:jc w:val="left"/>
              <w:rPr>
                <w:rFonts w:ascii="宋体" w:eastAsia="宋体" w:cs="宋体"/>
                <w:sz w:val="24"/>
              </w:rPr>
            </w:pPr>
            <w:r>
              <w:rPr>
                <w:rFonts w:ascii="宋体" w:eastAsia="宋体" w:cs="Lucida Sans"/>
                <w:color w:val="auto"/>
                <w:sz w:val="24"/>
              </w:rPr>
              <w:t>《清真合格证产品进口检验公报》。土耳其的清真合格评定是基于自愿的原则。然而，带有清真声明的产品和服务是可靠和可验证的，并且不会误导消费者，这符合公众利益。因此，自2023年6月4日起，打算在清真认证机构(HAK)认可的区域范围内对运往土耳其国内市场的产品进行清真合格评定的组织必须从HAK或其他国家根据涉及HAK的双边或多边互认安排授权的机构获得清真认证。带有清真标志、标记、印章或其他提及清真的符合性声明的进口产品必须由上述授权组织认证。</w:t>
            </w:r>
          </w:p>
        </w:tc>
      </w:tr>
      <w:tr>
        <w:trPr>
          <w:trHeight w:val="699"/>
        </w:trPr>
        <w:tc>
          <w:tcPr>
            <w:tcW w:w="1411" w:type="dxa"/>
            <w:tcBorders>
              <w:tl2br w:val="nil"/>
              <w:tr2bl w:val="nil"/>
            </w:tcBorders>
            <w:vAlign w:val="center"/>
          </w:tcPr>
          <w:p>
            <w:pPr>
              <w:pStyle w:val="59"/>
              <w:jc w:val="center"/>
              <w:textAlignment w:val="center"/>
            </w:pPr>
            <w:r>
              <w:t>西班牙</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5</w:t>
            </w:r>
          </w:p>
        </w:tc>
        <w:tc>
          <w:tcPr>
            <w:tcW w:w="12018" w:type="dxa"/>
            <w:vAlign w:val="center"/>
          </w:tcPr>
          <w:p>
            <w:pPr>
              <w:pStyle w:val="167"/>
              <w:jc w:val="left"/>
              <w:rPr>
                <w:rFonts w:ascii="宋体" w:cs="宋体"/>
                <w:color w:val="000000"/>
                <w:sz w:val="22"/>
              </w:rPr>
            </w:pPr>
            <w:r>
              <w:rPr>
                <w:rFonts w:ascii="宋体" w:eastAsia="宋体" w:cs="Lucida Sans"/>
                <w:color w:val="auto"/>
                <w:sz w:val="24"/>
              </w:rPr>
              <w:t>修订2002年8月2日皇家法令第842/2002号批准的《低压电气技术法规》及2014年5月9日皇家法令第337/2014号批准的《高压电气装置安全技术条件与保证法规》及其补充技术规范ITC-RAT 01至23的皇家法令草案。该皇家法令草案包含序言、两项条文、一项附加规定、八项过渡性规定、一项废止规定及三项最终规定。为保障装置安全，草案引入了新的技术要求，旨在适应已广泛推行的自发电模式。</w:t>
            </w:r>
          </w:p>
        </w:tc>
      </w:tr>
      <w:tr>
        <w:trPr>
          <w:trHeight w:val="808"/>
        </w:trPr>
        <w:tc>
          <w:tcPr>
            <w:tcW w:w="1411" w:type="dxa"/>
            <w:tcBorders>
              <w:tl2br w:val="nil"/>
              <w:tr2bl w:val="nil"/>
            </w:tcBorders>
            <w:vAlign w:val="center"/>
          </w:tcPr>
          <w:p>
            <w:pPr>
              <w:pStyle w:val="59"/>
              <w:jc w:val="center"/>
              <w:textAlignment w:val="center"/>
            </w:pPr>
            <w:r>
              <w:t>乌干达</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6</w:t>
            </w:r>
          </w:p>
        </w:tc>
        <w:tc>
          <w:tcPr>
            <w:tcW w:w="12018" w:type="dxa"/>
            <w:vAlign w:val="center"/>
          </w:tcPr>
          <w:p>
            <w:pPr>
              <w:pStyle w:val="168"/>
              <w:jc w:val="left"/>
              <w:rPr>
                <w:rFonts w:ascii="宋体" w:cs="宋体"/>
                <w:sz w:val="22"/>
              </w:rPr>
            </w:pPr>
            <w:r>
              <w:rPr>
                <w:rFonts w:ascii="宋体" w:eastAsia="宋体" w:cs="Lucida Sans"/>
                <w:color w:val="auto"/>
                <w:sz w:val="24"/>
              </w:rPr>
              <w:t>DARS 1524-2:20 25，化妆品成分的安全性第2部分：除规定的限制外，化妆品不得含有的物质清单，第一版。该非洲标准草案规定了化妆品不得含有的物质清单，除非有规定的限制。本标准草案不适用于医药产品、医疗器械或生物杀灭产品。</w:t>
            </w:r>
          </w:p>
        </w:tc>
      </w:tr>
      <w:tr>
        <w:trPr>
          <w:trHeight w:val="694"/>
        </w:trPr>
        <w:tc>
          <w:tcPr>
            <w:tcW w:w="1411" w:type="dxa"/>
            <w:vMerge w:val="restart"/>
            <w:tcBorders>
              <w:tl2br w:val="nil"/>
              <w:tr2bl w:val="nil"/>
            </w:tcBorders>
            <w:vAlign w:val="center"/>
          </w:tcPr>
          <w:p>
            <w:pPr>
              <w:pStyle w:val="182"/>
              <w:jc w:val="center"/>
              <w:textAlignment w:val="center"/>
            </w:pPr>
            <w:r>
              <w:t>乌拉圭</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7</w:t>
            </w:r>
          </w:p>
        </w:tc>
        <w:tc>
          <w:tcPr>
            <w:tcW w:w="12018" w:type="dxa"/>
            <w:vAlign w:val="center"/>
          </w:tcPr>
          <w:p>
            <w:pPr>
              <w:pStyle w:val="132"/>
              <w:jc w:val="left"/>
              <w:rPr>
                <w:rFonts w:ascii="宋体" w:cs="Lucida Sans"/>
                <w:sz w:val="24"/>
              </w:rPr>
            </w:pPr>
            <w:r>
              <w:rPr>
                <w:rFonts w:ascii="宋体" w:eastAsia="宋体" w:cs="Lucida Sans"/>
                <w:color w:val="auto"/>
                <w:sz w:val="24"/>
              </w:rPr>
              <w:t xml:space="preserve">农业服务总局关于限制毒死蜱使用的决议草案。该法案禁止毒死蜱在玉米和高粱作物中的所有用途，但第1）节中详述的用于控制某些害虫的用途除外。 </w:t>
            </w:r>
          </w:p>
        </w:tc>
      </w:tr>
      <w:tr>
        <w:trPr>
          <w:trHeight w:val="634"/>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8</w:t>
            </w:r>
          </w:p>
        </w:tc>
        <w:tc>
          <w:tcPr>
            <w:tcW w:w="12018" w:type="dxa"/>
            <w:vAlign w:val="center"/>
          </w:tcPr>
          <w:p>
            <w:pPr>
              <w:jc w:val="left"/>
              <w:rPr>
                <w:rFonts w:ascii="宋体" w:cs="宋体"/>
                <w:sz w:val="22"/>
              </w:rPr>
            </w:pPr>
            <w:r>
              <w:rPr>
                <w:rFonts w:ascii="宋体" w:eastAsia="宋体" w:cs="Lucida Sans"/>
                <w:color w:val="auto"/>
                <w:sz w:val="24"/>
              </w:rPr>
              <w:t xml:space="preserve">关于禁止基于碳氢化合物/石油切割类型的溶剂和其他物质用于配制植物保护产品的决议草案该决议草案禁止在“乳油”制剂类型的农业用植物保护产品的生产中加入文件中规定的被认为具有潜在致癌性的物质。 </w:t>
            </w:r>
          </w:p>
        </w:tc>
      </w:tr>
      <w:tr>
        <w:trPr>
          <w:trHeight w:val="613"/>
        </w:trPr>
        <w:tc>
          <w:tcPr>
            <w:tcW w:w="1411" w:type="dxa"/>
            <w:tcBorders>
              <w:tl2br w:val="nil"/>
              <w:tr2bl w:val="nil"/>
            </w:tcBorders>
            <w:vAlign w:val="center"/>
          </w:tcPr>
          <w:p>
            <w:pPr>
              <w:pStyle w:val="59"/>
              <w:jc w:val="center"/>
              <w:textAlignment w:val="center"/>
            </w:pPr>
            <w:r>
              <w:t>印度尼西亚</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59</w:t>
            </w:r>
          </w:p>
        </w:tc>
        <w:tc>
          <w:tcPr>
            <w:tcW w:w="12018" w:type="dxa"/>
            <w:vAlign w:val="center"/>
          </w:tcPr>
          <w:p>
            <w:pPr>
              <w:jc w:val="left"/>
              <w:rPr>
                <w:rFonts w:ascii="宋体" w:cs="宋体"/>
                <w:color w:val="000000"/>
                <w:sz w:val="22"/>
              </w:rPr>
            </w:pPr>
            <w:r>
              <w:rPr>
                <w:rFonts w:ascii="宋体" w:eastAsia="宋体" w:cs="Lucida Sans"/>
                <w:color w:val="auto"/>
                <w:sz w:val="24"/>
              </w:rPr>
              <w:t>清真产品保证组织机构负责人关于储存、包装和分销服务清真产品保证体系实施指南的法令草案。该法规为为清真认证产品提供储存、包装和分销服务的企业经营者制定了实施清真产品保证体系的技术指南。它概述了企业、清真主管、审计员和监管者在确保整个物流链中保持清真完整性方面的要求、程序和责任。该草案包括关于清真政策、过程控制、设施要求、清真和非清真商品的隔离、文件、培训、可追溯性、内部审计和管理审查的详细规定。</w:t>
            </w:r>
          </w:p>
        </w:tc>
      </w:tr>
      <w:tr>
        <w:trPr>
          <w:trHeight w:val="906"/>
        </w:trPr>
        <w:tc>
          <w:tcPr>
            <w:tcW w:w="1411" w:type="dxa"/>
            <w:tcBorders>
              <w:tl2br w:val="nil"/>
              <w:tr2bl w:val="nil"/>
            </w:tcBorders>
            <w:vAlign w:val="center"/>
          </w:tcPr>
          <w:p>
            <w:pPr>
              <w:pStyle w:val="59"/>
              <w:jc w:val="center"/>
              <w:textAlignment w:val="center"/>
            </w:pPr>
            <w:r>
              <w:t>以色列</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6</w:t>
            </w:r>
            <w:r>
              <w:rPr>
                <w:rFonts w:ascii="Times New Roman" w:cs="Times New Roman" w:hAnsi="Times New Roman"/>
                <w:color w:val="000000"/>
                <w:sz w:val="22"/>
                <w:szCs w:val="22"/>
              </w:rPr>
              <w:t>0</w:t>
            </w:r>
          </w:p>
        </w:tc>
        <w:tc>
          <w:tcPr>
            <w:tcW w:w="12018" w:type="dxa"/>
            <w:vAlign w:val="center"/>
          </w:tcPr>
          <w:p>
            <w:pPr>
              <w:jc w:val="left"/>
              <w:rPr>
                <w:rFonts w:ascii="宋体" w:eastAsia="宋体" w:cs="宋体"/>
                <w:sz w:val="22"/>
              </w:rPr>
            </w:pPr>
            <w:r>
              <w:rPr>
                <w:rFonts w:ascii="宋体" w:eastAsia="宋体" w:cs="Lucida Sans"/>
                <w:color w:val="auto"/>
                <w:sz w:val="24"/>
              </w:rPr>
              <w:t>保护公共卫生条例（食品）（向食品中添加维生素和矿物质以及某些其他物质）5785-2025；以色列通过了欧洲议会和理事会2006年12月20日关于在食品中添加维生素和矿物质以及某些其他物质的第1925/2006号欧洲条例（EC），作为第5776-2015号公共健康保护（食品）法第10号修正案的一部分（在G/TBT/N/ISR/1332/Rev.1中通知），并出现在该法第二附件A的第7项中，除了该法第3A（a1）至（a5）节中规定的例外情况外，还有A和C栏中详述的一些偏离。采用的欧洲版本是2023年6月22日有效的版本。现在建议将这一变化完全应用于已通过的第1925/2006号条例（EC），并于2025年9月10日在欧盟实施。该拟议命令中引入的主要变化是在食品中添加酪蛋白酸铁，如2023年5月12日欧盟委员会实施条例（EU）2023/949中公布的那样，授权将酪蛋白酸铁作为一种新型食品投放市场。此外，以色列国家食品服务局出版了新的食品信，以提供全面的指导。</w:t>
            </w:r>
          </w:p>
        </w:tc>
      </w:tr>
      <w:tr>
        <w:trPr>
          <w:trHeight w:val="702"/>
        </w:trPr>
        <w:tc>
          <w:tcPr>
            <w:tcW w:w="1411" w:type="dxa"/>
            <w:vMerge w:val="restart"/>
            <w:tcBorders>
              <w:tl2br w:val="nil"/>
              <w:tr2bl w:val="nil"/>
            </w:tcBorders>
            <w:vAlign w:val="center"/>
          </w:tcPr>
          <w:p>
            <w:pPr>
              <w:pStyle w:val="149"/>
              <w:jc w:val="center"/>
              <w:rPr>
                <w:rFonts w:ascii="Times New Roman" w:cs="Times New Roman" w:hAnsi="Times New Roman"/>
                <w:color w:val="000000"/>
                <w:sz w:val="22"/>
                <w:szCs w:val="22"/>
              </w:rPr>
            </w:pPr>
            <w:r>
              <w:rPr>
                <w:rFonts w:ascii="Times New Roman" w:cs="Times New Roman" w:hAnsi="Times New Roman"/>
                <w:color w:val="000000"/>
                <w:sz w:val="22"/>
                <w:szCs w:val="22"/>
              </w:rPr>
              <w:t>约旦</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6</w:t>
            </w:r>
            <w:r>
              <w:rPr>
                <w:rFonts w:ascii="Times New Roman" w:cs="Times New Roman" w:hAnsi="Times New Roman"/>
                <w:color w:val="000000"/>
                <w:sz w:val="22"/>
                <w:szCs w:val="22"/>
              </w:rPr>
              <w:t>1</w:t>
            </w:r>
          </w:p>
        </w:tc>
        <w:tc>
          <w:tcPr>
            <w:tcW w:w="12018" w:type="dxa"/>
            <w:vAlign w:val="center"/>
          </w:tcPr>
          <w:p>
            <w:pPr>
              <w:jc w:val="left"/>
              <w:rPr>
                <w:rFonts w:ascii="宋体" w:eastAsia="宋体" w:cs="宋体"/>
                <w:sz w:val="24"/>
              </w:rPr>
            </w:pPr>
            <w:r>
              <w:rPr>
                <w:rFonts w:ascii="宋体" w:eastAsia="宋体" w:cs="Lucida Sans"/>
                <w:color w:val="auto"/>
                <w:sz w:val="24"/>
              </w:rPr>
              <w:t xml:space="preserve">DJS 1793：2025饲料和饲料添加剂用作饲料的黑麦。约旦标准草案规定了用作饲料的黑麦谷物的要求。它涵盖了黑麦类型的定义、分类、技术要求、卫生要求、包装、运输、储存和标签要求。 </w:t>
            </w:r>
          </w:p>
        </w:tc>
      </w:tr>
      <w:tr>
        <w:trPr>
          <w:trHeight w:val="512"/>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62</w:t>
            </w:r>
          </w:p>
        </w:tc>
        <w:tc>
          <w:tcPr>
            <w:tcW w:w="12018" w:type="dxa"/>
            <w:vAlign w:val="center"/>
          </w:tcPr>
          <w:p>
            <w:pPr>
              <w:jc w:val="left"/>
              <w:rPr>
                <w:rFonts w:ascii="宋体" w:cs="Lucida Sans"/>
                <w:sz w:val="24"/>
              </w:rPr>
            </w:pPr>
            <w:r>
              <w:rPr>
                <w:rFonts w:ascii="宋体" w:eastAsia="宋体" w:cs="Lucida Sans"/>
                <w:color w:val="auto"/>
                <w:sz w:val="24"/>
              </w:rPr>
              <w:t xml:space="preserve">DJS 1915：2025（第二稿）糖和糖制品植物脂肪速溶鲜奶油粉。约旦标准草案规定了植物脂肪速溶鲜奶油粉的技术、成分、安全、微生物、包装、标签和取样要求。 </w:t>
            </w:r>
          </w:p>
        </w:tc>
      </w:tr>
      <w:tr>
        <w:trPr>
          <w:trHeight w:val="660"/>
        </w:trPr>
        <w:tc>
          <w:tcPr>
            <w:tcW w:w="1411" w:type="dxa"/>
            <w:vMerge w:val="restart"/>
            <w:tcBorders>
              <w:tl2br w:val="nil"/>
              <w:tr2bl w:val="nil"/>
            </w:tcBorders>
            <w:vAlign w:val="center"/>
          </w:tcPr>
          <w:p>
            <w:pPr>
              <w:pStyle w:val="184"/>
              <w:jc w:val="center"/>
              <w:rPr>
                <w:rFonts w:ascii="Times New Roman" w:cs="Times New Roman" w:hAnsi="Times New Roman"/>
                <w:color w:val="000000"/>
                <w:sz w:val="22"/>
                <w:szCs w:val="22"/>
              </w:rPr>
            </w:pPr>
            <w:r>
              <w:rPr>
                <w:rFonts w:ascii="Times New Roman" w:cs="Times New Roman" w:hAnsi="Times New Roman"/>
                <w:color w:val="000000"/>
                <w:sz w:val="22"/>
                <w:szCs w:val="22"/>
              </w:rPr>
              <w:t>印度</w:t>
            </w: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63</w:t>
            </w:r>
          </w:p>
        </w:tc>
        <w:tc>
          <w:tcPr>
            <w:tcW w:w="12018" w:type="dxa"/>
            <w:vAlign w:val="center"/>
          </w:tcPr>
          <w:p>
            <w:pPr>
              <w:jc w:val="left"/>
              <w:rPr>
                <w:rFonts w:ascii="宋体" w:eastAsia="宋体" w:cs="宋体"/>
                <w:sz w:val="24"/>
              </w:rPr>
            </w:pPr>
            <w:r>
              <w:rPr>
                <w:rFonts w:ascii="宋体" w:eastAsia="宋体" w:cs="Lucida Sans"/>
                <w:color w:val="auto"/>
                <w:sz w:val="24"/>
              </w:rPr>
              <w:t xml:space="preserve">关于修订《智能电表基本要求》（TEC 28362401）的通知。本草案文件规定了基于有线或无线（蜂窝/非蜂窝）通信技术工作的智能电表的基本要求。 </w:t>
            </w:r>
          </w:p>
        </w:tc>
      </w:tr>
      <w:tr>
        <w:trPr>
          <w:trHeight w:val="576"/>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64</w:t>
            </w:r>
          </w:p>
        </w:tc>
        <w:tc>
          <w:tcPr>
            <w:tcW w:w="12018" w:type="dxa"/>
            <w:vAlign w:val="center"/>
          </w:tcPr>
          <w:p>
            <w:pPr>
              <w:jc w:val="left"/>
              <w:rPr>
                <w:rFonts w:ascii="宋体" w:eastAsia="宋体" w:cs="宋体"/>
                <w:sz w:val="24"/>
              </w:rPr>
            </w:pPr>
            <w:r>
              <w:rPr>
                <w:rFonts w:ascii="宋体" w:eastAsia="宋体" w:cs="Lucida Sans"/>
                <w:color w:val="auto"/>
                <w:sz w:val="24"/>
              </w:rPr>
              <w:t>关于修订《会话边界控制器基本要求》（标准编号：TEC 67222401）标准文档的通知。旨在修订/更新标准文档《会话边界控制器基本要求》（标准编号：TEC 67222401）。</w:t>
            </w:r>
          </w:p>
        </w:tc>
      </w:tr>
      <w:tr>
        <w:trPr>
          <w:trHeight w:val="644"/>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65</w:t>
            </w:r>
          </w:p>
        </w:tc>
        <w:tc>
          <w:tcPr>
            <w:tcW w:w="12018" w:type="dxa"/>
            <w:vAlign w:val="center"/>
          </w:tcPr>
          <w:p>
            <w:pPr>
              <w:jc w:val="left"/>
              <w:rPr>
                <w:rFonts w:ascii="宋体" w:cs="宋体"/>
                <w:sz w:val="22"/>
              </w:rPr>
            </w:pPr>
            <w:r>
              <w:rPr>
                <w:rFonts w:ascii="宋体" w:eastAsia="宋体" w:cs="Lucida Sans"/>
                <w:color w:val="auto"/>
                <w:sz w:val="24"/>
              </w:rPr>
              <w:t xml:space="preserve">小型化5G核心网测试指南 (TEC 21121:2025)。本文件详细阐述了根据通用要求/检查要求/申请方规范（GR号：TEC 21120:2024），用于评估小型化5G核心网一致性/功能性/要求/性能的测试计划与流程。 </w:t>
            </w:r>
          </w:p>
        </w:tc>
      </w:tr>
      <w:tr>
        <w:trPr>
          <w:trHeight w:val="593"/>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pStyle w:val="47"/>
              <w:jc w:val="center"/>
              <w:rPr>
                <w:rFonts w:ascii="Times New Roman" w:cs="Times New Roman" w:hAnsi="Times New Roman"/>
                <w:color w:val="000000"/>
                <w:sz w:val="22"/>
                <w:szCs w:val="22"/>
              </w:rPr>
            </w:pPr>
            <w:r>
              <w:rPr>
                <w:rFonts w:ascii="Times New Roman" w:cs="Times New Roman" w:hAnsi="Times New Roman"/>
                <w:color w:val="000000"/>
                <w:sz w:val="22"/>
                <w:szCs w:val="22"/>
              </w:rPr>
              <w:t>66</w:t>
            </w:r>
          </w:p>
        </w:tc>
        <w:tc>
          <w:tcPr>
            <w:tcW w:w="12018" w:type="dxa"/>
            <w:vAlign w:val="center"/>
          </w:tcPr>
          <w:p>
            <w:pPr>
              <w:jc w:val="left"/>
              <w:rPr>
                <w:rFonts w:ascii="方正仿宋_GBK" w:eastAsia="方正仿宋_GBK" w:cs="宋体"/>
                <w:sz w:val="22"/>
              </w:rPr>
            </w:pPr>
            <w:r>
              <w:rPr>
                <w:rFonts w:ascii="宋体" w:eastAsia="宋体" w:cs="Lucida Sans"/>
                <w:color w:val="auto"/>
                <w:sz w:val="24"/>
              </w:rPr>
              <w:t xml:space="preserve">关于修订《物联网网关基本要求》（TEC 24492402）的通知。本提案文件包含了用于基于有线或无线通信技术的物联网网关的基本要求。 </w:t>
            </w:r>
          </w:p>
        </w:tc>
      </w:tr>
      <w:tr>
        <w:trPr>
          <w:trHeight w:val="700"/>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pStyle w:val="47"/>
              <w:jc w:val="center"/>
              <w:rPr>
                <w:rFonts w:ascii="Times New Roman" w:cs="Times New Roman" w:hAnsi="Times New Roman"/>
                <w:color w:val="000000"/>
                <w:sz w:val="22"/>
                <w:szCs w:val="22"/>
              </w:rPr>
            </w:pPr>
            <w:r>
              <w:rPr>
                <w:rFonts w:ascii="Times New Roman" w:cs="Times New Roman" w:hAnsi="Times New Roman"/>
                <w:color w:val="000000"/>
                <w:sz w:val="22"/>
                <w:szCs w:val="22"/>
              </w:rPr>
              <w:t>67</w:t>
            </w:r>
          </w:p>
        </w:tc>
        <w:tc>
          <w:tcPr>
            <w:tcW w:w="12018" w:type="dxa"/>
            <w:vAlign w:val="center"/>
          </w:tcPr>
          <w:p>
            <w:pPr>
              <w:jc w:val="left"/>
              <w:rPr>
                <w:rFonts w:ascii="宋体" w:cs="Lucida Sans"/>
                <w:sz w:val="24"/>
              </w:rPr>
            </w:pPr>
            <w:r>
              <w:rPr>
                <w:rFonts w:ascii="宋体" w:eastAsia="宋体" w:cs="Lucida Sans"/>
                <w:color w:val="auto"/>
                <w:sz w:val="24"/>
              </w:rPr>
              <w:t xml:space="preserve">关于修订《环境监测终端设备基本要求》（TEC 23732401）的通知。本提案文件包含了用于基于有线或无线通信技术的环境监测终端设备的基本要求。 </w:t>
            </w:r>
          </w:p>
        </w:tc>
      </w:tr>
      <w:tr>
        <w:trPr>
          <w:trHeight w:val="1012"/>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pStyle w:val="47"/>
              <w:jc w:val="center"/>
              <w:rPr>
                <w:rFonts w:ascii="Times New Roman" w:cs="Times New Roman" w:hAnsi="Times New Roman"/>
                <w:color w:val="000000"/>
                <w:sz w:val="22"/>
                <w:szCs w:val="22"/>
              </w:rPr>
            </w:pPr>
            <w:r>
              <w:rPr>
                <w:rFonts w:ascii="Times New Roman" w:cs="Times New Roman" w:hAnsi="Times New Roman"/>
                <w:color w:val="000000"/>
                <w:sz w:val="22"/>
                <w:szCs w:val="22"/>
              </w:rPr>
              <w:t>68</w:t>
            </w:r>
          </w:p>
        </w:tc>
        <w:tc>
          <w:tcPr>
            <w:tcW w:w="12018" w:type="dxa"/>
            <w:vAlign w:val="center"/>
          </w:tcPr>
          <w:p>
            <w:pPr>
              <w:jc w:val="left"/>
              <w:rPr>
                <w:rFonts w:ascii="方正仿宋_GBK" w:eastAsia="方正仿宋_GBK" w:cs="宋体"/>
                <w:sz w:val="22"/>
              </w:rPr>
            </w:pPr>
            <w:r>
              <w:rPr>
                <w:rFonts w:ascii="宋体" w:eastAsia="宋体" w:cs="Lucida Sans"/>
                <w:color w:val="auto"/>
                <w:sz w:val="24"/>
              </w:rPr>
              <w:t xml:space="preserve">关于“支持超高清和虚拟现实的混合机顶盒”的TEC通用要求标准“TEC/GR/TEC 57060：2024”的修订咨询。本通用要求标准概述了支持超高清(UHD)和虚拟现实功能的混合机顶盒的技术要求。该标准概述了UHD视频渲染、沉浸式音频、低延迟、高级用户界面和虚拟现实体验等重要技术方面。这些技术规范旨在增强用户体验，使观众能够享受UHD内容，同时无缝过渡到虚拟现实的沉浸式领域，并在家庭娱乐中创造一个新的维度。 </w:t>
            </w:r>
          </w:p>
        </w:tc>
      </w:tr>
      <w:tr>
        <w:trPr>
          <w:trHeight w:val="1237"/>
        </w:trPr>
        <w:tc>
          <w:tcPr>
            <w:tcW w:w="1411" w:type="dxa"/>
            <w:vMerge w:val="restart"/>
            <w:tcBorders>
              <w:tl2br w:val="nil"/>
              <w:tr2bl w:val="nil"/>
            </w:tcBorders>
            <w:vAlign w:val="center"/>
          </w:tcPr>
          <w:p>
            <w:pPr>
              <w:pStyle w:val="189"/>
              <w:jc w:val="center"/>
              <w:rPr>
                <w:rFonts w:ascii="Times New Roman" w:cs="Times New Roman" w:hAnsi="Times New Roman"/>
                <w:color w:val="000000"/>
                <w:sz w:val="22"/>
                <w:szCs w:val="22"/>
              </w:rPr>
            </w:pPr>
            <w:r>
              <w:rPr>
                <w:rFonts w:ascii="Times New Roman" w:cs="Times New Roman" w:hAnsi="Times New Roman"/>
                <w:color w:val="000000"/>
                <w:sz w:val="22"/>
                <w:szCs w:val="22"/>
              </w:rPr>
              <w:t>越南</w:t>
            </w:r>
          </w:p>
        </w:tc>
        <w:tc>
          <w:tcPr>
            <w:tcW w:w="733" w:type="dxa"/>
            <w:tcBorders>
              <w:top w:val="single" w:sz="4" w:space="0" w:color="000000"/>
              <w:left w:val="single" w:sz="4" w:space="0" w:color="000000"/>
              <w:right w:val="single" w:sz="4" w:space="0" w:color="000000"/>
            </w:tcBorders>
            <w:vAlign w:val="center"/>
          </w:tcPr>
          <w:p>
            <w:pPr>
              <w:pStyle w:val="47"/>
              <w:jc w:val="center"/>
              <w:rPr>
                <w:rFonts w:ascii="Times New Roman" w:cs="Times New Roman" w:hAnsi="Times New Roman"/>
                <w:color w:val="000000"/>
                <w:sz w:val="22"/>
                <w:szCs w:val="22"/>
              </w:rPr>
            </w:pPr>
            <w:r>
              <w:rPr>
                <w:rFonts w:ascii="Times New Roman" w:cs="Times New Roman" w:hAnsi="Times New Roman"/>
                <w:color w:val="000000"/>
                <w:sz w:val="22"/>
                <w:szCs w:val="22"/>
              </w:rPr>
              <w:t>69</w:t>
            </w:r>
          </w:p>
        </w:tc>
        <w:tc>
          <w:tcPr>
            <w:tcW w:w="12018" w:type="dxa"/>
            <w:vAlign w:val="center"/>
          </w:tcPr>
          <w:p>
            <w:pPr>
              <w:jc w:val="left"/>
              <w:rPr>
                <w:rFonts w:ascii="方正仿宋_GBK" w:eastAsia="方正仿宋_GBK" w:cs="宋体"/>
                <w:sz w:val="22"/>
              </w:rPr>
            </w:pPr>
            <w:r>
              <w:rPr>
                <w:rFonts w:ascii="宋体" w:eastAsia="宋体" w:cs="Lucida Sans"/>
                <w:color w:val="auto"/>
                <w:sz w:val="24"/>
              </w:rPr>
              <w:t xml:space="preserve">《标准制定与应用管理通知》草案。本《标准制定与应用管理通知》草案规定了国家标准的编制、计划审批、制定、审核与颁布程序；国家标准、国际标准、区域标准及外国标准的应用；以及基础标准的制定与颁布。本通知草案适用于参与国家标准规划、制定、审核与颁布过程的国家机关、组织及个人；在越南应用国家标准、国际标准、区域标准及外国标准；以及制定和颁布基础标准的各类主体。 </w:t>
            </w:r>
          </w:p>
        </w:tc>
      </w:tr>
      <w:tr>
        <w:trPr>
          <w:trHeight w:val="1861"/>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pStyle w:val="47"/>
              <w:jc w:val="center"/>
              <w:rPr>
                <w:rFonts w:ascii="Times New Roman" w:cs="Times New Roman" w:hAnsi="Times New Roman"/>
                <w:color w:val="000000"/>
                <w:sz w:val="22"/>
                <w:szCs w:val="22"/>
              </w:rPr>
            </w:pPr>
            <w:r>
              <w:rPr>
                <w:rFonts w:ascii="Times New Roman" w:cs="Times New Roman" w:hAnsi="Times New Roman"/>
                <w:color w:val="000000"/>
                <w:sz w:val="22"/>
                <w:szCs w:val="22"/>
              </w:rPr>
              <w:t>70</w:t>
            </w:r>
          </w:p>
        </w:tc>
        <w:tc>
          <w:tcPr>
            <w:tcW w:w="12018" w:type="dxa"/>
            <w:vAlign w:val="center"/>
          </w:tcPr>
          <w:p>
            <w:pPr>
              <w:jc w:val="left"/>
              <w:rPr>
                <w:rFonts w:ascii="宋体" w:cs="Lucida Sans"/>
                <w:sz w:val="24"/>
              </w:rPr>
            </w:pPr>
            <w:r>
              <w:rPr>
                <w:rFonts w:ascii="宋体" w:eastAsia="宋体" w:cs="Lucida Sans"/>
                <w:color w:val="auto"/>
                <w:sz w:val="24"/>
              </w:rPr>
              <w:t xml:space="preserve">规范签署和执行互认、单边承认合格评定结果协定的法令草案。本法令规范关于合格评定结果的互认、单边承认协定的签署和执行，包括：越南与一个或多个国家或地区之间，根据关于签署和执行国际条约的法律规定，签订的合格评定结果互认协定。越南合格评定组织与国际、区域、国家或地区的合格评定组织之间，根据越南法律、越南作为成员的国际条约以及国际惯例，签署和执行的合格评定结果互认及单边承认协定。本法令适用于：与签署和执行互认及单边承认协定相关的越南主管国家机构和合格评定组织。与签署和执行互认及单边承认协定相关的越南主管国家机构和合格评定组织。 </w:t>
            </w:r>
          </w:p>
        </w:tc>
      </w:tr>
      <w:tr>
        <w:trPr>
          <w:trHeight w:val="1134"/>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pStyle w:val="47"/>
              <w:jc w:val="center"/>
              <w:rPr>
                <w:rFonts w:ascii="Times New Roman" w:cs="Times New Roman" w:hAnsi="Times New Roman"/>
                <w:color w:val="000000"/>
                <w:sz w:val="22"/>
                <w:szCs w:val="22"/>
              </w:rPr>
            </w:pPr>
            <w:r>
              <w:rPr>
                <w:rFonts w:ascii="Times New Roman" w:cs="Times New Roman" w:hAnsi="Times New Roman"/>
                <w:color w:val="000000"/>
                <w:sz w:val="22"/>
                <w:szCs w:val="22"/>
              </w:rPr>
              <w:t>71</w:t>
            </w:r>
          </w:p>
        </w:tc>
        <w:tc>
          <w:tcPr>
            <w:tcW w:w="12018" w:type="dxa"/>
            <w:vAlign w:val="center"/>
          </w:tcPr>
          <w:p>
            <w:pPr>
              <w:jc w:val="left"/>
              <w:rPr>
                <w:rFonts w:ascii="方正仿宋_GBK" w:eastAsia="方正仿宋_GBK" w:cs="宋体"/>
                <w:sz w:val="22"/>
              </w:rPr>
            </w:pPr>
            <w:r>
              <w:rPr>
                <w:rFonts w:ascii="宋体" w:eastAsia="宋体" w:cs="Lucida Sans"/>
                <w:color w:val="auto"/>
                <w:sz w:val="24"/>
              </w:rPr>
              <w:t>关于规范符合性声明及标准与技术法规符合性评估方法的法令草案。本法令草案规定了关于标准和技术法规的符合性声明及符合性评估方法。本法令草案适用于参与合格评定、符合性声明及符合性公告活动的组织、个人及管理机关。</w:t>
            </w:r>
          </w:p>
        </w:tc>
      </w:tr>
      <w:tr>
        <w:trPr>
          <w:trHeight w:val="1861"/>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pStyle w:val="47"/>
              <w:jc w:val="center"/>
              <w:rPr>
                <w:rFonts w:ascii="Times New Roman" w:cs="Times New Roman" w:hAnsi="Times New Roman"/>
                <w:color w:val="000000"/>
                <w:sz w:val="22"/>
                <w:szCs w:val="22"/>
              </w:rPr>
            </w:pPr>
            <w:r>
              <w:rPr>
                <w:rFonts w:ascii="Times New Roman" w:cs="Times New Roman" w:hAnsi="Times New Roman"/>
                <w:color w:val="000000"/>
                <w:sz w:val="22"/>
                <w:szCs w:val="22"/>
              </w:rPr>
              <w:t>72</w:t>
            </w:r>
          </w:p>
        </w:tc>
        <w:tc>
          <w:tcPr>
            <w:tcW w:w="12018" w:type="dxa"/>
            <w:vAlign w:val="center"/>
          </w:tcPr>
          <w:p>
            <w:pPr>
              <w:pStyle w:val="185"/>
              <w:jc w:val="left"/>
              <w:rPr>
                <w:rFonts w:ascii="方正仿宋_GBK" w:eastAsia="方正仿宋_GBK" w:cs="宋体"/>
                <w:sz w:val="22"/>
              </w:rPr>
            </w:pPr>
            <w:r>
              <w:rPr>
                <w:rFonts w:ascii="宋体" w:eastAsia="宋体" w:cs="Lucida Sans"/>
                <w:color w:val="auto"/>
                <w:sz w:val="24"/>
              </w:rPr>
              <w:t>颁布国家技术法规的通知草案，修订民用密码领域的国家技术法规并修订和补充2024年10月26日第87/2024/TT-BQP号通知，规定了电子识别和认证活动中硬件安全模块强制性的密码技术标准清单；本通知草案修订和补充了国防部长2024年10月26日第87/2024/TT-BQP号通知，该通知规定了电子识别和认证活动中硬件安全模块强制性的加密技术标准清单。第87/2024/TT-BQP号通知附录中发布的“电子识别和认证活动中硬件安全模块强制性的密码技术标准清单”应替换为本通知附录中发布的“电子识别和认证活动中硬件安全模块强制性的密码技术标准清单” 。</w:t>
            </w:r>
          </w:p>
        </w:tc>
      </w:tr>
      <w:tr>
        <w:trPr>
          <w:trHeight w:val="1237"/>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pStyle w:val="47"/>
              <w:jc w:val="center"/>
              <w:rPr>
                <w:rFonts w:ascii="Times New Roman" w:cs="Times New Roman" w:hAnsi="Times New Roman"/>
                <w:color w:val="000000"/>
                <w:sz w:val="22"/>
                <w:szCs w:val="22"/>
              </w:rPr>
            </w:pPr>
            <w:r>
              <w:rPr>
                <w:rFonts w:ascii="Times New Roman" w:cs="Times New Roman" w:hAnsi="Times New Roman"/>
                <w:color w:val="000000"/>
                <w:sz w:val="22"/>
                <w:szCs w:val="22"/>
              </w:rPr>
              <w:t>73</w:t>
            </w:r>
          </w:p>
        </w:tc>
        <w:tc>
          <w:tcPr>
            <w:tcW w:w="12018" w:type="dxa"/>
            <w:vAlign w:val="center"/>
          </w:tcPr>
          <w:p>
            <w:pPr>
              <w:pStyle w:val="186"/>
              <w:jc w:val="left"/>
              <w:rPr>
                <w:rFonts w:ascii="方正仿宋_GBK" w:eastAsia="方正仿宋_GBK" w:cs="宋体"/>
                <w:sz w:val="22"/>
              </w:rPr>
            </w:pPr>
            <w:r>
              <w:rPr>
                <w:rFonts w:ascii="宋体" w:eastAsia="宋体" w:cs="Lucida Sans"/>
                <w:color w:val="auto"/>
                <w:sz w:val="24"/>
              </w:rPr>
              <w:t>修正案1:20 25 QCVN 12:20 22/BQP国家技术法规关于IP安全产品组民用密码产品中使用的密码技术规范，包括IPsec和TLS。该国家技术法规草案规定了使用IPsec和TLS技术保护不属于国家秘密范围的信息的IP流安全产品的密码技术特性的限制。本技术法规草案适用于从事用于保护国家秘密范围以外信息的民用密码产品交易和使用的组织和个人。</w:t>
            </w:r>
          </w:p>
        </w:tc>
      </w:tr>
      <w:tr>
        <w:trPr>
          <w:trHeight w:val="1549"/>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pStyle w:val="47"/>
              <w:jc w:val="center"/>
              <w:rPr>
                <w:rFonts w:ascii="Times New Roman" w:cs="Times New Roman" w:hAnsi="Times New Roman"/>
                <w:color w:val="000000"/>
                <w:sz w:val="22"/>
                <w:szCs w:val="22"/>
              </w:rPr>
            </w:pPr>
            <w:r>
              <w:rPr>
                <w:rFonts w:ascii="Times New Roman" w:cs="Times New Roman" w:hAnsi="Times New Roman"/>
                <w:color w:val="000000"/>
                <w:sz w:val="22"/>
                <w:szCs w:val="22"/>
              </w:rPr>
              <w:t>74</w:t>
            </w:r>
          </w:p>
        </w:tc>
        <w:tc>
          <w:tcPr>
            <w:tcW w:w="12018" w:type="dxa"/>
            <w:vAlign w:val="center"/>
          </w:tcPr>
          <w:p>
            <w:pPr>
              <w:pStyle w:val="187"/>
              <w:jc w:val="left"/>
              <w:rPr>
                <w:rFonts w:ascii="方正仿宋_GBK" w:eastAsia="方正仿宋_GBK" w:cs="宋体"/>
                <w:sz w:val="22"/>
              </w:rPr>
            </w:pPr>
            <w:r>
              <w:rPr>
                <w:rFonts w:ascii="宋体" w:eastAsia="宋体" w:cs="Lucida Sans"/>
                <w:color w:val="auto"/>
                <w:sz w:val="24"/>
              </w:rPr>
              <w:t>修正案1:20 25 QCVN 15:20 23/BQP国家密码安全技术法规民用密码产品属于数据存储安全产品组。本技术法规草案规定了用于保护不属于国家秘密范围的信息的数据安全产品的密码技术特性的限制。本技术法规草案适用于从事生产、交易和使用旨在保护不属于国家秘密范围的信息的民用密码产品的组织和个人。政府密码委员会将接受指定的国内合格评定机构以及根据法律规定认可或单方面认可的合格评定机构对本技术法规中的技术要求的测试结果。</w:t>
            </w:r>
          </w:p>
        </w:tc>
      </w:tr>
      <w:tr>
        <w:trPr>
          <w:trHeight w:val="925"/>
        </w:trPr>
        <w:tc>
          <w:tcPr>
            <w:tcW w:w="1412"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pStyle w:val="47"/>
              <w:jc w:val="center"/>
              <w:rPr>
                <w:rFonts w:ascii="Times New Roman" w:cs="Times New Roman" w:hAnsi="Times New Roman"/>
                <w:color w:val="000000"/>
                <w:sz w:val="22"/>
                <w:szCs w:val="22"/>
              </w:rPr>
            </w:pPr>
            <w:r>
              <w:rPr>
                <w:rFonts w:ascii="Times New Roman" w:cs="Times New Roman" w:hAnsi="Times New Roman"/>
                <w:color w:val="000000"/>
                <w:sz w:val="22"/>
                <w:szCs w:val="22"/>
              </w:rPr>
              <w:t>75</w:t>
            </w:r>
          </w:p>
        </w:tc>
        <w:tc>
          <w:tcPr>
            <w:tcW w:w="12018" w:type="dxa"/>
            <w:vAlign w:val="center"/>
          </w:tcPr>
          <w:p>
            <w:pPr>
              <w:pStyle w:val="188"/>
              <w:jc w:val="left"/>
              <w:rPr>
                <w:rFonts w:ascii="方正仿宋_GBK" w:eastAsia="方正仿宋_GBK" w:cs="宋体"/>
                <w:sz w:val="22"/>
              </w:rPr>
            </w:pPr>
            <w:r>
              <w:rPr>
                <w:rFonts w:ascii="宋体" w:eastAsia="宋体" w:cs="Lucida Sans"/>
                <w:color w:val="auto"/>
                <w:sz w:val="24"/>
              </w:rPr>
              <w:t>关于银行业数据加密的国家技术条例草案。该国家技术法规草案规定了银行业使用的民用密码产品中数据加密算法的密码技术特性限制。本技术法规草案适用于银行业从事民用密码产品生产、交易和使用的组织和个人；使用民用密码产品和服务的信贷机构。</w:t>
            </w:r>
          </w:p>
        </w:tc>
      </w:tr>
      <w:tr>
        <w:trPr>
          <w:trHeight w:val="759"/>
        </w:trPr>
        <w:tc>
          <w:tcPr>
            <w:tcW w:w="1411" w:type="dxa"/>
            <w:vMerge w:val="restart"/>
            <w:tcBorders>
              <w:tl2br w:val="nil"/>
              <w:tr2bl w:val="nil"/>
            </w:tcBorders>
            <w:vAlign w:val="center"/>
          </w:tcPr>
          <w:p>
            <w:pPr>
              <w:pStyle w:val="149"/>
              <w:jc w:val="center"/>
              <w:rPr>
                <w:rFonts w:ascii="Times New Roman" w:cs="Times New Roman" w:hAnsi="Times New Roman"/>
                <w:color w:val="000000"/>
                <w:sz w:val="22"/>
                <w:szCs w:val="22"/>
              </w:rPr>
            </w:pPr>
            <w:r>
              <w:rPr>
                <w:rFonts w:ascii="Times New Roman" w:cs="Times New Roman" w:hAnsi="Times New Roman"/>
                <w:color w:val="000000"/>
                <w:sz w:val="22"/>
                <w:szCs w:val="22"/>
              </w:rPr>
              <w:t>智利</w:t>
            </w:r>
          </w:p>
        </w:tc>
        <w:tc>
          <w:tcPr>
            <w:tcW w:w="733" w:type="dxa"/>
            <w:tcBorders>
              <w:top w:val="single" w:sz="4" w:space="0" w:color="000000"/>
              <w:left w:val="single" w:sz="4" w:space="0" w:color="000000"/>
              <w:right w:val="single" w:sz="4" w:space="0" w:color="000000"/>
            </w:tcBorders>
            <w:vAlign w:val="center"/>
          </w:tcPr>
          <w:p>
            <w:pPr>
              <w:pStyle w:val="47"/>
              <w:jc w:val="center"/>
              <w:rPr>
                <w:rFonts w:ascii="Times New Roman" w:cs="Times New Roman" w:hAnsi="Times New Roman"/>
                <w:color w:val="000000"/>
                <w:sz w:val="22"/>
                <w:szCs w:val="22"/>
              </w:rPr>
            </w:pPr>
            <w:r>
              <w:rPr>
                <w:rFonts w:ascii="Times New Roman" w:cs="Times New Roman" w:hAnsi="Times New Roman"/>
                <w:color w:val="000000"/>
                <w:sz w:val="22"/>
                <w:szCs w:val="22"/>
              </w:rPr>
              <w:t>76</w:t>
            </w:r>
          </w:p>
        </w:tc>
        <w:tc>
          <w:tcPr>
            <w:tcW w:w="12018" w:type="dxa"/>
            <w:vAlign w:val="center"/>
          </w:tcPr>
          <w:p>
            <w:pPr>
              <w:jc w:val="left"/>
              <w:rPr>
                <w:rFonts w:ascii="方正仿宋_GBK" w:eastAsia="方正仿宋_GBK" w:cs="宋体"/>
                <w:sz w:val="22"/>
              </w:rPr>
            </w:pPr>
            <w:r>
              <w:rPr>
                <w:rFonts w:ascii="宋体" w:eastAsia="宋体" w:cs="Lucida Sans"/>
                <w:color w:val="auto"/>
                <w:sz w:val="24"/>
              </w:rPr>
              <w:t xml:space="preserve">NCh 2264：2025天然气规格。1.1.该标准规定了天然气在运输、分配和供应中必须满足的特性。1.2.根据现行法规，本标准适用于1.1中定义的操作的任何地点。本标准不适用于所谓的替代天然气。 </w:t>
            </w:r>
          </w:p>
        </w:tc>
      </w:tr>
      <w:tr>
        <w:trPr>
          <w:trHeight w:val="1549"/>
        </w:trPr>
        <w:tc>
          <w:tcPr>
            <w:tcW w:w="1411" w:type="dxa"/>
            <w:vMerge/>
            <w:tcBorders>
              <w:tl2br w:val="nil"/>
              <w:tr2bl w:val="nil"/>
            </w:tcBorders>
            <w:vAlign w:val="center"/>
          </w:tcPr>
          <w:p/>
        </w:tc>
        <w:tc>
          <w:tcPr>
            <w:tcW w:w="733" w:type="dxa"/>
            <w:tcBorders>
              <w:top w:val="single" w:sz="4" w:space="0" w:color="000000"/>
              <w:left w:val="single" w:sz="4" w:space="0" w:color="000000"/>
              <w:right w:val="single" w:sz="4" w:space="0" w:color="000000"/>
            </w:tcBorders>
            <w:vAlign w:val="center"/>
          </w:tcPr>
          <w:p>
            <w:pPr>
              <w:pStyle w:val="47"/>
              <w:jc w:val="center"/>
              <w:rPr>
                <w:rFonts w:ascii="Times New Roman" w:cs="Times New Roman" w:hAnsi="Times New Roman"/>
                <w:color w:val="000000"/>
                <w:sz w:val="22"/>
                <w:szCs w:val="22"/>
              </w:rPr>
            </w:pPr>
            <w:r>
              <w:rPr>
                <w:rFonts w:ascii="Times New Roman" w:cs="Times New Roman" w:hAnsi="Times New Roman"/>
                <w:color w:val="000000"/>
                <w:sz w:val="22"/>
                <w:szCs w:val="22"/>
              </w:rPr>
              <w:t>77</w:t>
            </w:r>
          </w:p>
        </w:tc>
        <w:tc>
          <w:tcPr>
            <w:tcW w:w="12018" w:type="dxa"/>
            <w:vAlign w:val="center"/>
          </w:tcPr>
          <w:p>
            <w:pPr>
              <w:jc w:val="left"/>
              <w:rPr>
                <w:rFonts w:ascii="宋体" w:cs="Lucida Sans"/>
                <w:sz w:val="24"/>
              </w:rPr>
            </w:pPr>
            <w:r>
              <w:rPr>
                <w:rFonts w:ascii="宋体" w:eastAsia="宋体" w:cs="Lucida Sans"/>
                <w:color w:val="auto"/>
                <w:sz w:val="24"/>
              </w:rPr>
              <w:t xml:space="preserve">将其指定的产品纳入《卫生法》第111条和卫生部1998年第825号最高法令规定的卫生控制制度。1.监管提案的目标通过实施基于ISO/IEC国际标准的合规验证系统，将39种医疗器械(DM)和体外诊断医疗器械(DMDIV)纳入《卫生法》第111条和卫生部1998年第825号最高法令建立的卫生控制制度。具体目标：保证智利卫生系统中使用的关键医疗器械的质量、安全和性能优先控制风险最高的器械（DM为III级和IV级；DMDIV为C级和D级）使国家法规与世卫组织的建议和国际标准保持一致通过与风险成比例的控制保护患者安全 </w:t>
            </w:r>
          </w:p>
        </w:tc>
      </w:tr>
    </w:tbl>
    <w:p>
      <w:pPr>
        <w:autoSpaceDN w:val="0"/>
        <w:adjustRightInd w:val="0"/>
        <w:snapToGrid w:val="0"/>
        <w:spacing w:line="560" w:lineRule="exact"/>
        <w:ind w:firstLineChars="265" w:firstLine="848"/>
        <w:rPr>
          <w:rFonts w:ascii="方正仿宋_GBK" w:eastAsia="方正仿宋_GBK" w:cs="Times New Roman"/>
          <w:sz w:val="32"/>
          <w:szCs w:val="32"/>
        </w:rPr>
      </w:pPr>
      <w:r>
        <w:rPr>
          <w:rStyle w:val="19Char"/>
          <w:rFonts w:ascii="方正仿宋_GBK" w:eastAsia="方正仿宋_GBK" w:cs="方正仿宋_GBK"/>
          <w:kern w:val="0"/>
          <w:sz w:val="32"/>
          <w:szCs w:val="32"/>
        </w:rPr>
        <w:t>感</w:t>
      </w:r>
      <w:r>
        <w:rPr>
          <w:rStyle w:val="19Char"/>
          <w:rFonts w:ascii="方正仿宋_GBK" w:eastAsia="方正仿宋_GBK" w:cs="方正仿宋_GBK" w:hint="eastAsia"/>
          <w:kern w:val="0"/>
          <w:sz w:val="32"/>
          <w:szCs w:val="32"/>
        </w:rPr>
        <w:t>谢关注武汉海关的技术性贸易措施工作！后期，我们将持续收集和更新</w:t>
      </w:r>
      <w:r>
        <w:rPr>
          <w:rFonts w:ascii="方正仿宋_GBK" w:eastAsia="方正仿宋_GBK" w:cs="方正仿宋_GBK" w:hint="eastAsia"/>
          <w:sz w:val="32"/>
          <w:szCs w:val="32"/>
        </w:rPr>
        <w:t>各国（地区）技术性贸易措施</w:t>
      </w:r>
      <w:r>
        <w:rPr>
          <w:rStyle w:val="19Char"/>
          <w:rFonts w:ascii="方正仿宋_GBK" w:eastAsia="方正仿宋_GBK" w:cs="方正仿宋_GBK" w:hint="eastAsia"/>
          <w:kern w:val="0"/>
          <w:sz w:val="32"/>
          <w:szCs w:val="32"/>
        </w:rPr>
        <w:t>，</w:t>
      </w:r>
      <w:r>
        <w:rPr>
          <w:rFonts w:ascii="方正仿宋_GBK" w:eastAsia="方正仿宋_GBK" w:cs="方正仿宋_GBK" w:hint="eastAsia"/>
          <w:sz w:val="32"/>
          <w:szCs w:val="32"/>
        </w:rPr>
        <w:t>根据需要及时向社会公布</w:t>
      </w:r>
      <w:r>
        <w:rPr>
          <w:rStyle w:val="19Char"/>
          <w:rFonts w:ascii="方正仿宋_GBK" w:eastAsia="方正仿宋_GBK" w:cs="方正仿宋_GBK" w:hint="eastAsia"/>
          <w:kern w:val="0"/>
          <w:sz w:val="32"/>
          <w:szCs w:val="32"/>
        </w:rPr>
        <w:t>，优化营商环境，</w:t>
      </w:r>
      <w:r>
        <w:rPr>
          <w:rFonts w:ascii="方正仿宋_GBK" w:eastAsia="方正仿宋_GBK" w:cs="方正仿宋_GBK" w:hint="eastAsia"/>
          <w:sz w:val="32"/>
          <w:szCs w:val="32"/>
        </w:rPr>
        <w:t>做好稳外贸稳外资工作，服务外贸企业，帮助企业有效应对，降低技术性贸易措施带来的影响和损失。</w:t>
      </w:r>
    </w:p>
    <w:p>
      <w:pPr>
        <w:pStyle w:val="20"/>
        <w:ind w:firstLineChars="200" w:firstLine="640"/>
        <w:jc w:val="center"/>
        <w:rPr>
          <w:rFonts w:ascii="方正仿宋_GBK" w:eastAsia="方正仿宋_GBK" w:cs="Times New Roman"/>
          <w:sz w:val="32"/>
          <w:szCs w:val="32"/>
        </w:rPr>
      </w:pPr>
      <w:r>
        <w:rPr>
          <w:rFonts w:ascii="方正仿宋_GBK" w:eastAsia="方正仿宋_GBK" w:cs="方正仿宋_GBK" w:hint="eastAsia"/>
          <w:sz w:val="32"/>
          <w:szCs w:val="32"/>
        </w:rPr>
        <w:t xml:space="preserve">                                                               武汉海关</w:t>
      </w:r>
    </w:p>
    <w:p>
      <w:pPr>
        <w:autoSpaceDN w:val="0"/>
        <w:ind w:right="480" w:firstLineChars="200" w:firstLine="640"/>
        <w:jc w:val="right"/>
        <w:rPr>
          <w:rFonts w:cs="Times New Roman"/>
        </w:rPr>
      </w:pPr>
      <w:r>
        <w:rPr>
          <w:rFonts w:ascii="Times New Roman" w:eastAsia="方正仿宋_GBK" w:cs="Times New Roman" w:hAnsi="Times New Roman"/>
          <w:sz w:val="32"/>
          <w:szCs w:val="32"/>
        </w:rPr>
        <w:t>2025</w:t>
      </w:r>
      <w:r>
        <w:rPr>
          <w:rFonts w:ascii="Times New Roman" w:eastAsia="方正仿宋_GBK" w:cs="方正仿宋_GBK" w:hAnsi="Times New Roman" w:hint="eastAsia"/>
          <w:sz w:val="32"/>
          <w:szCs w:val="32"/>
        </w:rPr>
        <w:t>年</w:t>
      </w:r>
      <w:r>
        <w:rPr>
          <w:rFonts w:ascii="Times New Roman" w:eastAsia="方正仿宋_GBK" w:cs="方正仿宋_GBK" w:hAnsi="Times New Roman"/>
          <w:sz w:val="32"/>
          <w:szCs w:val="32"/>
        </w:rPr>
        <w:t>12</w:t>
      </w:r>
      <w:r>
        <w:rPr>
          <w:rFonts w:ascii="Times New Roman" w:eastAsia="方正仿宋_GBK" w:cs="方正仿宋_GBK" w:hAnsi="Times New Roman" w:hint="eastAsia"/>
          <w:sz w:val="32"/>
          <w:szCs w:val="32"/>
        </w:rPr>
        <w:t>月</w:t>
      </w:r>
      <w:r>
        <w:rPr>
          <w:rFonts w:ascii="Times New Roman" w:eastAsia="方正仿宋_GBK" w:cs="Times New Roman" w:hAnsi="Times New Roman"/>
          <w:sz w:val="32"/>
          <w:szCs w:val="32"/>
        </w:rPr>
        <w:t>19</w:t>
      </w:r>
      <w:r>
        <w:rPr>
          <w:rFonts w:ascii="Times New Roman" w:eastAsia="方正仿宋_GBK" w:cs="方正仿宋_GBK" w:hAnsi="Times New Roman" w:hint="eastAsia"/>
          <w:sz w:val="32"/>
          <w:szCs w:val="32"/>
        </w:rPr>
        <w:t>日</w:t>
      </w:r>
    </w:p>
    <w:sectPr>
      <w:pgSz w:w="16838" w:h="11906" w:orient="landscape"/>
      <w:pgMar w:top="1800" w:right="1440" w:bottom="1800" w:left="144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楷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Lucida Sans">
    <w:altName w:val="DejaVu Sans"/>
    <w:panose1 w:val="020B0602030504020204"/>
    <w:charset w:val="00"/>
    <w:family w:val="auto"/>
    <w:pitch w:val="variable"/>
    <w:sig w:usb0="00000003" w:usb1="00000000" w:usb2="00000000" w:usb3="00000000" w:csb0="20000001" w:csb1="00000000"/>
  </w:font>
  <w:font w:name="Calibri">
    <w:altName w:val="Times New Roman"/>
    <w:panose1 w:val="020F0502020204030204"/>
    <w:charset w:val="00"/>
    <w:family w:val="swiss"/>
    <w:pitch w:val="variable"/>
    <w:sig w:usb0="E00002FF" w:usb1="4000ACFF" w:usb2="00000001" w:usb3="00000000" w:csb0="0000019F" w:csb1="00000000"/>
  </w:font>
  <w:font w:name="黑体">
    <w:altName w:val="方正黑体_GBK"/>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92"/>
  <w:doNotDisplayPageBoundaries/>
  <w:bordersDoNotSurroundHeader/>
  <w:bordersDoNotSurroundFooter/>
  <w:trackRevisions/>
  <w:defaultTabStop w:val="420"/>
  <w:drawingGridHorizontalSpacing w:val="105"/>
  <w:drawingGridVerticalSpacing w:val="156"/>
  <w:displayHorizontalDrawingGridEvery w:val="0"/>
  <w:displayVerticalDrawingGridEvery w:val="1"/>
  <w:noPunctuationKerning/>
  <w:characterSpacingControl w:val="compressPunctuation"/>
  <w:noLineBreaksAfter w:lang="zh-CN" w:val="$([{£¥·‘“〈《「『【〔〖〝﹙﹛﹝＄（．［｛￡￥"/>
  <w:noLineBreaksBefore w:lang="zh-CN" w:val="!%),.:;&gt;?]}¢¨°·ˇˉ―‖’”…‰′″›℃∶、。〃〉》」』】〕〗〞︶︺︾﹀﹄﹚﹜﹞！＂％＇），．：；？］｀｜｝～￠"/>
  <w:savePreviewPicture/>
  <w:compat>
    <w:spaceForUL/>
    <w:balanceSingleByteDoubleByteWidth/>
    <w:ulTrailSpace/>
    <w:doNotExpandShiftReturn/>
    <w:adjustLineHeightInTable/>
    <w:growAutofit/>
    <w:useAltKinsokuLineBreakRules/>
    <w:splitPgBreakAndParaMark/>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Calibri" w:hAnsi="Calibri"/>
      <w:kern w:val="2"/>
      <w:sz w:val="21"/>
      <w:szCs w:val="21"/>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er"/>
    <w:basedOn w:val="0"/>
    <w:pPr>
      <w:tabs>
        <w:tab w:val="center" w:pos="4153"/>
        <w:tab w:val="right" w:pos="8306"/>
      </w:tabs>
      <w:snapToGrid w:val="0"/>
      <w:jc w:val="left"/>
    </w:pPr>
    <w:rPr>
      <w:sz w:val="18"/>
      <w:szCs w:val="18"/>
    </w:rPr>
  </w:style>
  <w:style w:type="paragraph" w:styleId="16">
    <w:name w:val="header"/>
    <w:basedOn w:val="0"/>
    <w:pPr>
      <w:pBdr>
        <w:bottom w:val="single" w:sz="6" w:space="1" w:color="auto"/>
      </w:pBdr>
      <w:tabs>
        <w:tab w:val="center" w:pos="4153"/>
        <w:tab w:val="right" w:pos="8306"/>
      </w:tabs>
      <w:snapToGrid w:val="0"/>
      <w:jc w:val="center"/>
    </w:pPr>
    <w:rPr>
      <w:sz w:val="18"/>
      <w:szCs w:val="18"/>
    </w:rPr>
  </w:style>
  <w:style w:type="character" w:customStyle="1" w:styleId="17">
    <w:name w:val="NormalCharacter"/>
  </w:style>
  <w:style w:type="character" w:customStyle="1" w:styleId="18">
    <w:name w:val="im-content1"/>
    <w:basedOn w:val="10"/>
    <w:rPr>
      <w:color w:val="000000"/>
    </w:rPr>
  </w:style>
  <w:style w:type="paragraph" w:customStyle="1" w:styleId="19">
    <w:name w:val="样式"/>
    <w:link w:val="19Char"/>
    <w:rPr>
      <w:rFonts w:ascii="Times New Roman" w:eastAsia="宋体" w:cs="Times New Roman" w:hAnsi="Times New Roman"/>
      <w:sz w:val="20"/>
      <w:szCs w:val="20"/>
      <w:lang w:val="en-US" w:eastAsia="zh-CN" w:bidi="ar-SA"/>
    </w:rPr>
  </w:style>
  <w:style w:type="character" w:customStyle="1" w:styleId="19Char">
    <w:name w:val="样式 Char"/>
    <w:basedOn w:val="10"/>
    <w:link w:val="19"/>
    <w:rPr>
      <w:rFonts w:ascii="Times New Roman" w:eastAsia="宋体" w:cs="Times New Roman" w:hAnsi="Times New Roman"/>
      <w:sz w:val="20"/>
      <w:szCs w:val="20"/>
      <w:lang w:val="en-US" w:eastAsia="zh-CN" w:bidi="ar-SA"/>
    </w:rPr>
  </w:style>
  <w:style w:type="paragraph" w:customStyle="1" w:styleId="20">
    <w:name w:val="样式 1 10 磅"/>
    <w:pPr>
      <w:widowControl w:val="0"/>
      <w:jc w:val="both"/>
    </w:pPr>
    <w:rPr>
      <w:rFonts w:ascii="Calibri" w:eastAsia="宋体" w:cs="Calibri" w:hAnsi="Calibri"/>
      <w:kern w:val="2"/>
      <w:sz w:val="21"/>
      <w:szCs w:val="21"/>
      <w:lang w:val="en-US" w:eastAsia="zh-CN" w:bidi="ar-SA"/>
    </w:rPr>
  </w:style>
  <w:style w:type="character" w:customStyle="1" w:styleId="21">
    <w:name w:val="font21"/>
    <w:basedOn w:val="10"/>
    <w:rPr>
      <w:rFonts w:ascii="宋体" w:eastAsia="宋体" w:cs="宋体"/>
      <w:color w:val="000000"/>
      <w:sz w:val="18"/>
      <w:szCs w:val="18"/>
      <w:u w:val="none"/>
    </w:rPr>
  </w:style>
  <w:style w:type="character" w:customStyle="1" w:styleId="22">
    <w:name w:val="font31"/>
    <w:basedOn w:val="10"/>
    <w:rPr>
      <w:rFonts w:ascii="Calibri" w:cs="Calibri" w:hAnsi="Calibri"/>
      <w:color w:val="000000"/>
      <w:sz w:val="18"/>
      <w:szCs w:val="18"/>
      <w:u w:val="none"/>
    </w:rPr>
  </w:style>
  <w:style w:type="character" w:customStyle="1" w:styleId="23">
    <w:name w:val="font11"/>
    <w:basedOn w:val="10"/>
    <w:rPr>
      <w:rFonts w:ascii="Times New Roman" w:cs="Times New Roman" w:hAnsi="Times New Roman"/>
      <w:color w:val="000000"/>
      <w:sz w:val="24"/>
      <w:szCs w:val="24"/>
      <w:u w:val="none"/>
    </w:rPr>
  </w:style>
  <w:style w:type="character" w:customStyle="1" w:styleId="24">
    <w:name w:val="font51"/>
    <w:basedOn w:val="10"/>
    <w:rPr>
      <w:rFonts w:ascii="方正仿宋_GBK" w:eastAsia="方正仿宋_GBK" w:cs="方正仿宋_GBK"/>
      <w:color w:val="000000"/>
      <w:sz w:val="24"/>
      <w:szCs w:val="24"/>
      <w:u w:val="none"/>
    </w:rPr>
  </w:style>
  <w:style w:type="character" w:customStyle="1" w:styleId="25">
    <w:name w:val="font41"/>
    <w:basedOn w:val="10"/>
    <w:rPr>
      <w:rFonts w:ascii="方正仿宋_GBK" w:eastAsia="方正仿宋_GBK" w:cs="方正仿宋_GBK"/>
      <w:color w:val="000000"/>
      <w:sz w:val="24"/>
      <w:szCs w:val="24"/>
      <w:u w:val="none"/>
    </w:rPr>
  </w:style>
  <w:style w:type="character" w:customStyle="1" w:styleId="26">
    <w:name w:val="font61"/>
    <w:basedOn w:val="10"/>
    <w:rPr>
      <w:rFonts w:ascii="方正仿宋_GBK" w:eastAsia="方正仿宋_GBK" w:cs="方正仿宋_GBK"/>
      <w:color w:val="4D4D4D"/>
      <w:sz w:val="24"/>
      <w:szCs w:val="24"/>
      <w:u w:val="none"/>
    </w:rPr>
  </w:style>
  <w:style w:type="character" w:customStyle="1" w:styleId="27">
    <w:name w:val="font01"/>
    <w:basedOn w:val="10"/>
    <w:rPr>
      <w:rFonts w:ascii="宋体" w:eastAsia="宋体" w:cs="宋体"/>
      <w:color w:val="000000"/>
      <w:sz w:val="22"/>
      <w:szCs w:val="22"/>
      <w:u w:val="none"/>
    </w:rPr>
  </w:style>
  <w:style w:type="character" w:customStyle="1" w:styleId="28">
    <w:name w:val="font71"/>
    <w:basedOn w:val="10"/>
    <w:rPr>
      <w:rFonts w:ascii="Times New Roman" w:cs="Times New Roman" w:hAnsi="Times New Roman"/>
      <w:color w:val="auto"/>
      <w:sz w:val="32"/>
      <w:szCs w:val="32"/>
      <w:u w:val="none"/>
    </w:rPr>
  </w:style>
  <w:style w:type="character" w:customStyle="1" w:styleId="29">
    <w:name w:val="font81"/>
    <w:basedOn w:val="10"/>
    <w:rPr>
      <w:rFonts w:ascii="Times New Roman" w:cs="Times New Roman" w:hAnsi="Times New Roman"/>
      <w:color w:val="000000"/>
      <w:sz w:val="32"/>
      <w:szCs w:val="32"/>
      <w:u w:val="none"/>
    </w:rPr>
  </w:style>
  <w:style w:type="paragraph" w:customStyle="1" w:styleId="30">
    <w:name w:val="样式 10 磅"/>
    <w:pPr>
      <w:widowControl w:val="0"/>
      <w:jc w:val="both"/>
    </w:pPr>
    <w:rPr>
      <w:rFonts w:ascii="Calibri" w:eastAsia="宋体" w:cs="Calibri" w:hAnsi="Calibri"/>
      <w:kern w:val="2"/>
      <w:sz w:val="21"/>
      <w:szCs w:val="21"/>
      <w:lang w:val="en-US" w:eastAsia="zh-CN" w:bidi="ar-SA"/>
    </w:rPr>
  </w:style>
  <w:style w:type="paragraph" w:customStyle="1" w:styleId="31">
    <w:name w:val="样式 2 10 磅"/>
    <w:pPr>
      <w:widowControl w:val="0"/>
      <w:jc w:val="both"/>
    </w:pPr>
    <w:rPr>
      <w:rFonts w:ascii="Calibri" w:eastAsia="宋体" w:cs="Calibri" w:hAnsi="Calibri"/>
      <w:kern w:val="2"/>
      <w:sz w:val="21"/>
      <w:szCs w:val="21"/>
      <w:lang w:val="en-US" w:eastAsia="zh-CN" w:bidi="ar-SA"/>
    </w:rPr>
  </w:style>
  <w:style w:type="character" w:styleId="32">
    <w:name w:val="Hyperlink"/>
    <w:basedOn w:val="10"/>
    <w:rPr>
      <w:color w:val="0000FF"/>
      <w:u w:val="single"/>
    </w:rPr>
  </w:style>
  <w:style w:type="paragraph" w:customStyle="1" w:styleId="33">
    <w:name w:val="样式 3 10 磅"/>
    <w:pPr>
      <w:widowControl w:val="0"/>
      <w:jc w:val="both"/>
    </w:pPr>
    <w:rPr>
      <w:rFonts w:ascii="Calibri" w:eastAsia="宋体" w:cs="Calibri" w:hAnsi="Calibri"/>
      <w:kern w:val="2"/>
      <w:sz w:val="21"/>
      <w:szCs w:val="21"/>
      <w:lang w:val="en-US" w:eastAsia="zh-CN" w:bidi="ar-SA"/>
    </w:rPr>
  </w:style>
  <w:style w:type="paragraph" w:customStyle="1" w:styleId="34">
    <w:name w:val="样式 4 10 磅"/>
    <w:pPr>
      <w:widowControl w:val="0"/>
      <w:jc w:val="both"/>
    </w:pPr>
    <w:rPr>
      <w:rFonts w:ascii="Calibri" w:eastAsia="宋体" w:cs="Calibri" w:hAnsi="Calibri"/>
      <w:kern w:val="2"/>
      <w:sz w:val="21"/>
      <w:szCs w:val="21"/>
      <w:lang w:val="en-US" w:eastAsia="zh-CN" w:bidi="ar-SA"/>
    </w:rPr>
  </w:style>
  <w:style w:type="paragraph" w:customStyle="1" w:styleId="35">
    <w:name w:val="样式 5 10 磅"/>
    <w:pPr>
      <w:widowControl w:val="0"/>
      <w:jc w:val="both"/>
    </w:pPr>
    <w:rPr>
      <w:rFonts w:ascii="Calibri" w:eastAsia="宋体" w:cs="Calibri" w:hAnsi="Calibri"/>
      <w:kern w:val="2"/>
      <w:sz w:val="21"/>
      <w:szCs w:val="21"/>
      <w:lang w:val="en-US" w:eastAsia="zh-CN" w:bidi="ar-SA"/>
    </w:rPr>
  </w:style>
  <w:style w:type="paragraph" w:customStyle="1" w:styleId="36">
    <w:name w:val="样式 6 10 磅"/>
    <w:pPr>
      <w:widowControl w:val="0"/>
      <w:jc w:val="both"/>
    </w:pPr>
    <w:rPr>
      <w:rFonts w:ascii="Calibri" w:eastAsia="宋体" w:cs="Calibri" w:hAnsi="Calibri"/>
      <w:kern w:val="2"/>
      <w:sz w:val="21"/>
      <w:szCs w:val="21"/>
      <w:lang w:val="en-US" w:eastAsia="zh-CN" w:bidi="ar-SA"/>
    </w:rPr>
  </w:style>
  <w:style w:type="paragraph" w:customStyle="1" w:styleId="37">
    <w:name w:val="样式 7 10 磅"/>
    <w:pPr>
      <w:widowControl w:val="0"/>
      <w:jc w:val="both"/>
    </w:pPr>
    <w:rPr>
      <w:rFonts w:ascii="Calibri" w:eastAsia="宋体" w:cs="Calibri" w:hAnsi="Calibri"/>
      <w:kern w:val="2"/>
      <w:sz w:val="21"/>
      <w:szCs w:val="21"/>
      <w:lang w:val="en-US" w:eastAsia="zh-CN" w:bidi="ar-SA"/>
    </w:rPr>
  </w:style>
  <w:style w:type="paragraph" w:customStyle="1" w:styleId="38">
    <w:name w:val="样式 8 10 磅"/>
    <w:pPr>
      <w:widowControl w:val="0"/>
      <w:jc w:val="both"/>
    </w:pPr>
    <w:rPr>
      <w:rFonts w:ascii="Calibri" w:eastAsia="宋体" w:cs="Calibri" w:hAnsi="Calibri"/>
      <w:kern w:val="2"/>
      <w:sz w:val="21"/>
      <w:szCs w:val="21"/>
      <w:lang w:val="en-US" w:eastAsia="zh-CN" w:bidi="ar-SA"/>
    </w:rPr>
  </w:style>
  <w:style w:type="paragraph" w:customStyle="1" w:styleId="39">
    <w:name w:val="样式 9 10 磅"/>
    <w:pPr>
      <w:widowControl w:val="0"/>
      <w:jc w:val="both"/>
    </w:pPr>
    <w:rPr>
      <w:rFonts w:ascii="Calibri" w:eastAsia="宋体" w:cs="Calibri" w:hAnsi="Calibri"/>
      <w:kern w:val="2"/>
      <w:sz w:val="21"/>
      <w:szCs w:val="21"/>
      <w:lang w:val="en-US" w:eastAsia="zh-CN" w:bidi="ar-SA"/>
    </w:rPr>
  </w:style>
  <w:style w:type="paragraph" w:customStyle="1" w:styleId="40">
    <w:name w:val="样式 10 10 磅"/>
    <w:pPr>
      <w:widowControl w:val="0"/>
      <w:jc w:val="both"/>
    </w:pPr>
    <w:rPr>
      <w:rFonts w:ascii="Calibri" w:eastAsia="宋体" w:cs="Calibri" w:hAnsi="Calibri"/>
      <w:kern w:val="2"/>
      <w:sz w:val="21"/>
      <w:szCs w:val="21"/>
      <w:lang w:val="en-US" w:eastAsia="zh-CN" w:bidi="ar-SA"/>
    </w:rPr>
  </w:style>
  <w:style w:type="paragraph" w:customStyle="1" w:styleId="41">
    <w:name w:val="样式 11 10 磅"/>
    <w:pPr>
      <w:widowControl w:val="0"/>
      <w:jc w:val="both"/>
    </w:pPr>
    <w:rPr>
      <w:rFonts w:ascii="Calibri" w:eastAsia="宋体" w:cs="Calibri" w:hAnsi="Calibri"/>
      <w:kern w:val="2"/>
      <w:sz w:val="21"/>
      <w:szCs w:val="21"/>
      <w:lang w:val="en-US" w:eastAsia="zh-CN" w:bidi="ar-SA"/>
    </w:rPr>
  </w:style>
  <w:style w:type="paragraph" w:customStyle="1" w:styleId="42">
    <w:name w:val="样式 12 10 磅"/>
    <w:pPr>
      <w:widowControl w:val="0"/>
      <w:jc w:val="both"/>
    </w:pPr>
    <w:rPr>
      <w:rFonts w:ascii="Calibri" w:eastAsia="宋体" w:cs="Calibri" w:hAnsi="Calibri"/>
      <w:kern w:val="2"/>
      <w:sz w:val="21"/>
      <w:szCs w:val="21"/>
      <w:lang w:val="en-US" w:eastAsia="zh-CN" w:bidi="ar-SA"/>
    </w:rPr>
  </w:style>
  <w:style w:type="paragraph" w:customStyle="1" w:styleId="43">
    <w:name w:val="样式 13 10 磅"/>
    <w:pPr>
      <w:widowControl w:val="0"/>
      <w:jc w:val="both"/>
    </w:pPr>
    <w:rPr>
      <w:rFonts w:ascii="Calibri" w:eastAsia="宋体" w:cs="Calibri" w:hAnsi="Calibri"/>
      <w:kern w:val="2"/>
      <w:sz w:val="21"/>
      <w:szCs w:val="21"/>
      <w:lang w:val="en-US" w:eastAsia="zh-CN" w:bidi="ar-SA"/>
    </w:rPr>
  </w:style>
  <w:style w:type="paragraph" w:customStyle="1" w:styleId="44">
    <w:name w:val="样式 14 10 磅"/>
    <w:pPr>
      <w:widowControl w:val="0"/>
      <w:jc w:val="both"/>
    </w:pPr>
    <w:rPr>
      <w:rFonts w:ascii="Calibri" w:eastAsia="宋体" w:cs="Calibri" w:hAnsi="Calibri"/>
      <w:kern w:val="2"/>
      <w:sz w:val="21"/>
      <w:szCs w:val="21"/>
      <w:lang w:val="en-US" w:eastAsia="zh-CN" w:bidi="ar-SA"/>
    </w:rPr>
  </w:style>
  <w:style w:type="paragraph" w:customStyle="1" w:styleId="45">
    <w:name w:val="样式 15 10 磅"/>
    <w:pPr>
      <w:widowControl w:val="0"/>
      <w:jc w:val="both"/>
    </w:pPr>
    <w:rPr>
      <w:rFonts w:ascii="Calibri" w:eastAsia="宋体" w:cs="Calibri" w:hAnsi="Calibri"/>
      <w:kern w:val="2"/>
      <w:sz w:val="21"/>
      <w:szCs w:val="21"/>
      <w:lang w:val="en-US" w:eastAsia="zh-CN" w:bidi="ar-SA"/>
    </w:rPr>
  </w:style>
  <w:style w:type="paragraph" w:customStyle="1" w:styleId="46">
    <w:name w:val="样式 16 10 磅"/>
    <w:pPr>
      <w:widowControl w:val="0"/>
      <w:jc w:val="both"/>
    </w:pPr>
    <w:rPr>
      <w:rFonts w:ascii="Calibri" w:eastAsia="宋体" w:cs="Calibri" w:hAnsi="Calibri"/>
      <w:kern w:val="2"/>
      <w:sz w:val="21"/>
      <w:szCs w:val="21"/>
      <w:lang w:val="en-US" w:eastAsia="zh-CN" w:bidi="ar-SA"/>
    </w:rPr>
  </w:style>
  <w:style w:type="paragraph" w:customStyle="1" w:styleId="47">
    <w:name w:val="样式 17 10 磅"/>
    <w:pPr>
      <w:widowControl w:val="0"/>
      <w:jc w:val="both"/>
    </w:pPr>
    <w:rPr>
      <w:rFonts w:ascii="Calibri" w:eastAsia="宋体" w:cs="Calibri" w:hAnsi="Calibri"/>
      <w:kern w:val="2"/>
      <w:sz w:val="21"/>
      <w:szCs w:val="21"/>
      <w:lang w:val="en-US" w:eastAsia="zh-CN" w:bidi="ar-SA"/>
    </w:rPr>
  </w:style>
  <w:style w:type="paragraph" w:customStyle="1" w:styleId="48">
    <w:name w:val="样式 18 10 磅"/>
    <w:pPr>
      <w:widowControl w:val="0"/>
      <w:jc w:val="both"/>
    </w:pPr>
    <w:rPr>
      <w:rFonts w:ascii="Calibri" w:eastAsia="宋体" w:cs="Calibri" w:hAnsi="Calibri"/>
      <w:kern w:val="2"/>
      <w:sz w:val="21"/>
      <w:szCs w:val="21"/>
      <w:lang w:val="en-US" w:eastAsia="zh-CN" w:bidi="ar-SA"/>
    </w:rPr>
  </w:style>
  <w:style w:type="paragraph" w:customStyle="1" w:styleId="49">
    <w:name w:val="样式 19 10 磅"/>
    <w:pPr>
      <w:widowControl w:val="0"/>
      <w:jc w:val="both"/>
    </w:pPr>
    <w:rPr>
      <w:rFonts w:ascii="Calibri" w:eastAsia="宋体" w:cs="Calibri" w:hAnsi="Calibri"/>
      <w:kern w:val="2"/>
      <w:sz w:val="21"/>
      <w:szCs w:val="21"/>
      <w:lang w:val="en-US" w:eastAsia="zh-CN" w:bidi="ar-SA"/>
    </w:rPr>
  </w:style>
  <w:style w:type="paragraph" w:customStyle="1" w:styleId="50">
    <w:name w:val="样式 20 10 磅"/>
    <w:pPr>
      <w:widowControl w:val="0"/>
      <w:jc w:val="both"/>
    </w:pPr>
    <w:rPr>
      <w:rFonts w:ascii="Calibri" w:eastAsia="宋体" w:cs="Calibri" w:hAnsi="Calibri"/>
      <w:kern w:val="2"/>
      <w:sz w:val="21"/>
      <w:szCs w:val="21"/>
      <w:lang w:val="en-US" w:eastAsia="zh-CN" w:bidi="ar-SA"/>
    </w:rPr>
  </w:style>
  <w:style w:type="paragraph" w:customStyle="1" w:styleId="51">
    <w:name w:val="样式 21 10 磅"/>
    <w:pPr>
      <w:widowControl w:val="0"/>
      <w:jc w:val="both"/>
    </w:pPr>
    <w:rPr>
      <w:rFonts w:ascii="Calibri" w:eastAsia="宋体" w:cs="Calibri" w:hAnsi="Calibri"/>
      <w:kern w:val="2"/>
      <w:sz w:val="21"/>
      <w:szCs w:val="21"/>
      <w:lang w:val="en-US" w:eastAsia="zh-CN" w:bidi="ar-SA"/>
    </w:rPr>
  </w:style>
  <w:style w:type="paragraph" w:customStyle="1" w:styleId="52">
    <w:name w:val="样式 22 10 磅"/>
    <w:pPr>
      <w:widowControl w:val="0"/>
      <w:jc w:val="both"/>
    </w:pPr>
    <w:rPr>
      <w:rFonts w:ascii="Calibri" w:eastAsia="宋体" w:cs="Calibri" w:hAnsi="Calibri"/>
      <w:kern w:val="2"/>
      <w:sz w:val="21"/>
      <w:szCs w:val="21"/>
      <w:lang w:val="en-US" w:eastAsia="zh-CN" w:bidi="ar-SA"/>
    </w:rPr>
  </w:style>
  <w:style w:type="paragraph" w:customStyle="1" w:styleId="53">
    <w:name w:val="样式 23 10 磅"/>
    <w:pPr>
      <w:widowControl w:val="0"/>
      <w:jc w:val="both"/>
    </w:pPr>
    <w:rPr>
      <w:rFonts w:ascii="Calibri" w:eastAsia="宋体" w:cs="Calibri" w:hAnsi="Calibri"/>
      <w:kern w:val="2"/>
      <w:sz w:val="21"/>
      <w:szCs w:val="21"/>
      <w:lang w:val="en-US" w:eastAsia="zh-CN" w:bidi="ar-SA"/>
    </w:rPr>
  </w:style>
  <w:style w:type="paragraph" w:customStyle="1" w:styleId="54">
    <w:name w:val="样式 24 10 磅"/>
    <w:pPr>
      <w:widowControl w:val="0"/>
      <w:jc w:val="both"/>
    </w:pPr>
    <w:rPr>
      <w:rFonts w:ascii="Calibri" w:eastAsia="宋体" w:cs="Calibri" w:hAnsi="Calibri"/>
      <w:kern w:val="2"/>
      <w:sz w:val="21"/>
      <w:szCs w:val="21"/>
      <w:lang w:val="en-US" w:eastAsia="zh-CN" w:bidi="ar-SA"/>
    </w:rPr>
  </w:style>
  <w:style w:type="paragraph" w:customStyle="1" w:styleId="55">
    <w:name w:val="样式 25 10 磅"/>
    <w:pPr>
      <w:widowControl w:val="0"/>
      <w:jc w:val="both"/>
    </w:pPr>
    <w:rPr>
      <w:rFonts w:ascii="Calibri" w:eastAsia="宋体" w:cs="Calibri" w:hAnsi="Calibri"/>
      <w:kern w:val="2"/>
      <w:sz w:val="21"/>
      <w:szCs w:val="21"/>
      <w:lang w:val="en-US" w:eastAsia="zh-CN" w:bidi="ar-SA"/>
    </w:rPr>
  </w:style>
  <w:style w:type="paragraph" w:customStyle="1" w:styleId="56">
    <w:name w:val="样式 26 10 磅"/>
    <w:pPr>
      <w:widowControl w:val="0"/>
      <w:jc w:val="both"/>
    </w:pPr>
    <w:rPr>
      <w:rFonts w:ascii="Calibri" w:eastAsia="宋体" w:cs="Calibri" w:hAnsi="Calibri"/>
      <w:kern w:val="2"/>
      <w:sz w:val="21"/>
      <w:szCs w:val="21"/>
      <w:lang w:val="en-US" w:eastAsia="zh-CN" w:bidi="ar-SA"/>
    </w:rPr>
  </w:style>
  <w:style w:type="paragraph" w:customStyle="1" w:styleId="57">
    <w:name w:val="样式 27 10 磅"/>
    <w:pPr>
      <w:widowControl w:val="0"/>
      <w:jc w:val="both"/>
    </w:pPr>
    <w:rPr>
      <w:rFonts w:ascii="Calibri" w:eastAsia="宋体" w:cs="Calibri" w:hAnsi="Calibri"/>
      <w:kern w:val="2"/>
      <w:sz w:val="21"/>
      <w:szCs w:val="21"/>
      <w:lang w:val="en-US" w:eastAsia="zh-CN" w:bidi="ar-SA"/>
    </w:rPr>
  </w:style>
  <w:style w:type="paragraph" w:customStyle="1" w:styleId="58">
    <w:name w:val="样式 28 10 磅"/>
    <w:pPr>
      <w:widowControl w:val="0"/>
      <w:jc w:val="both"/>
    </w:pPr>
    <w:rPr>
      <w:rFonts w:ascii="Calibri" w:eastAsia="宋体" w:cs="Calibri" w:hAnsi="Calibri"/>
      <w:kern w:val="2"/>
      <w:sz w:val="21"/>
      <w:szCs w:val="21"/>
      <w:lang w:val="en-US" w:eastAsia="zh-CN" w:bidi="ar-SA"/>
    </w:rPr>
  </w:style>
  <w:style w:type="paragraph" w:customStyle="1" w:styleId="59">
    <w:name w:val="样式 29 10 磅"/>
    <w:pPr>
      <w:widowControl w:val="0"/>
      <w:jc w:val="both"/>
    </w:pPr>
    <w:rPr>
      <w:rFonts w:ascii="Calibri" w:eastAsia="宋体" w:cs="Calibri" w:hAnsi="Calibri"/>
      <w:kern w:val="2"/>
      <w:sz w:val="21"/>
      <w:szCs w:val="21"/>
      <w:lang w:val="en-US" w:eastAsia="zh-CN" w:bidi="ar-SA"/>
    </w:rPr>
  </w:style>
  <w:style w:type="paragraph" w:customStyle="1" w:styleId="60">
    <w:name w:val="样式 30 10 磅"/>
    <w:pPr>
      <w:widowControl w:val="0"/>
      <w:jc w:val="both"/>
    </w:pPr>
    <w:rPr>
      <w:rFonts w:ascii="Calibri" w:eastAsia="宋体" w:cs="Calibri" w:hAnsi="Calibri"/>
      <w:kern w:val="2"/>
      <w:sz w:val="21"/>
      <w:szCs w:val="21"/>
      <w:lang w:val="en-US" w:eastAsia="zh-CN" w:bidi="ar-SA"/>
    </w:rPr>
  </w:style>
  <w:style w:type="paragraph" w:customStyle="1" w:styleId="61">
    <w:name w:val="样式 31 10 磅"/>
    <w:pPr>
      <w:widowControl w:val="0"/>
      <w:jc w:val="both"/>
    </w:pPr>
    <w:rPr>
      <w:rFonts w:ascii="Calibri" w:eastAsia="宋体" w:cs="Calibri" w:hAnsi="Calibri"/>
      <w:kern w:val="2"/>
      <w:sz w:val="21"/>
      <w:szCs w:val="21"/>
      <w:lang w:val="en-US" w:eastAsia="zh-CN" w:bidi="ar-SA"/>
    </w:rPr>
  </w:style>
  <w:style w:type="paragraph" w:customStyle="1" w:styleId="62">
    <w:name w:val="样式 32 10 磅"/>
    <w:pPr>
      <w:widowControl w:val="0"/>
      <w:jc w:val="both"/>
    </w:pPr>
    <w:rPr>
      <w:rFonts w:ascii="Calibri" w:eastAsia="宋体" w:cs="Calibri" w:hAnsi="Calibri"/>
      <w:kern w:val="2"/>
      <w:sz w:val="21"/>
      <w:szCs w:val="21"/>
      <w:lang w:val="en-US" w:eastAsia="zh-CN" w:bidi="ar-SA"/>
    </w:rPr>
  </w:style>
  <w:style w:type="paragraph" w:customStyle="1" w:styleId="63">
    <w:name w:val="样式 33 10 磅"/>
    <w:pPr>
      <w:widowControl w:val="0"/>
      <w:jc w:val="both"/>
    </w:pPr>
    <w:rPr>
      <w:rFonts w:ascii="Calibri" w:eastAsia="宋体" w:cs="Calibri" w:hAnsi="Calibri"/>
      <w:kern w:val="2"/>
      <w:sz w:val="21"/>
      <w:szCs w:val="21"/>
      <w:lang w:val="en-US" w:eastAsia="zh-CN" w:bidi="ar-SA"/>
    </w:rPr>
  </w:style>
  <w:style w:type="paragraph" w:customStyle="1" w:styleId="64">
    <w:name w:val="样式 34 10 磅"/>
    <w:pPr>
      <w:widowControl w:val="0"/>
      <w:jc w:val="both"/>
    </w:pPr>
    <w:rPr>
      <w:rFonts w:ascii="Calibri" w:eastAsia="宋体" w:cs="Calibri" w:hAnsi="Calibri"/>
      <w:kern w:val="2"/>
      <w:sz w:val="21"/>
      <w:szCs w:val="21"/>
      <w:lang w:val="en-US" w:eastAsia="zh-CN" w:bidi="ar-SA"/>
    </w:rPr>
  </w:style>
  <w:style w:type="paragraph" w:customStyle="1" w:styleId="65">
    <w:name w:val="样式 35 10 磅"/>
    <w:pPr>
      <w:widowControl w:val="0"/>
      <w:jc w:val="both"/>
    </w:pPr>
    <w:rPr>
      <w:rFonts w:ascii="Calibri" w:eastAsia="宋体" w:cs="Calibri" w:hAnsi="Calibri"/>
      <w:kern w:val="2"/>
      <w:sz w:val="21"/>
      <w:szCs w:val="21"/>
      <w:lang w:val="en-US" w:eastAsia="zh-CN" w:bidi="ar-SA"/>
    </w:rPr>
  </w:style>
  <w:style w:type="paragraph" w:customStyle="1" w:styleId="66">
    <w:name w:val="样式 36 10 磅"/>
    <w:pPr>
      <w:widowControl w:val="0"/>
      <w:jc w:val="both"/>
    </w:pPr>
    <w:rPr>
      <w:rFonts w:ascii="Calibri" w:eastAsia="宋体" w:cs="Calibri" w:hAnsi="Calibri"/>
      <w:kern w:val="2"/>
      <w:sz w:val="21"/>
      <w:szCs w:val="21"/>
      <w:lang w:val="en-US" w:eastAsia="zh-CN" w:bidi="ar-SA"/>
    </w:rPr>
  </w:style>
  <w:style w:type="paragraph" w:customStyle="1" w:styleId="67">
    <w:name w:val="样式 37 10 磅"/>
    <w:pPr>
      <w:widowControl w:val="0"/>
      <w:jc w:val="both"/>
    </w:pPr>
    <w:rPr>
      <w:rFonts w:ascii="Calibri" w:eastAsia="宋体" w:cs="Calibri" w:hAnsi="Calibri"/>
      <w:kern w:val="2"/>
      <w:sz w:val="21"/>
      <w:szCs w:val="21"/>
      <w:lang w:val="en-US" w:eastAsia="zh-CN" w:bidi="ar-SA"/>
    </w:rPr>
  </w:style>
  <w:style w:type="paragraph" w:customStyle="1" w:styleId="68">
    <w:name w:val="样式 38 10 磅"/>
    <w:pPr>
      <w:widowControl w:val="0"/>
      <w:jc w:val="both"/>
    </w:pPr>
    <w:rPr>
      <w:rFonts w:ascii="Calibri" w:eastAsia="宋体" w:cs="Calibri" w:hAnsi="Calibri"/>
      <w:kern w:val="2"/>
      <w:sz w:val="21"/>
      <w:szCs w:val="21"/>
      <w:lang w:val="en-US" w:eastAsia="zh-CN" w:bidi="ar-SA"/>
    </w:rPr>
  </w:style>
  <w:style w:type="paragraph" w:customStyle="1" w:styleId="69">
    <w:name w:val="样式 39 10 磅"/>
    <w:pPr>
      <w:widowControl w:val="0"/>
      <w:jc w:val="both"/>
    </w:pPr>
    <w:rPr>
      <w:rFonts w:ascii="Calibri" w:eastAsia="宋体" w:cs="Calibri" w:hAnsi="Calibri"/>
      <w:kern w:val="2"/>
      <w:sz w:val="21"/>
      <w:szCs w:val="21"/>
      <w:lang w:val="en-US" w:eastAsia="zh-CN" w:bidi="ar-SA"/>
    </w:rPr>
  </w:style>
  <w:style w:type="paragraph" w:customStyle="1" w:styleId="70">
    <w:name w:val="样式 40 10 磅"/>
    <w:pPr>
      <w:widowControl w:val="0"/>
      <w:jc w:val="both"/>
    </w:pPr>
    <w:rPr>
      <w:rFonts w:ascii="Calibri" w:eastAsia="宋体" w:cs="Calibri" w:hAnsi="Calibri"/>
      <w:kern w:val="2"/>
      <w:sz w:val="21"/>
      <w:szCs w:val="21"/>
      <w:lang w:val="en-US" w:eastAsia="zh-CN" w:bidi="ar-SA"/>
    </w:rPr>
  </w:style>
  <w:style w:type="paragraph" w:customStyle="1" w:styleId="71">
    <w:name w:val="样式 41 10 磅"/>
    <w:pPr>
      <w:widowControl w:val="0"/>
      <w:jc w:val="both"/>
    </w:pPr>
    <w:rPr>
      <w:rFonts w:ascii="Calibri" w:eastAsia="宋体" w:cs="Calibri" w:hAnsi="Calibri"/>
      <w:kern w:val="2"/>
      <w:sz w:val="21"/>
      <w:szCs w:val="21"/>
      <w:lang w:val="en-US" w:eastAsia="zh-CN" w:bidi="ar-SA"/>
    </w:rPr>
  </w:style>
  <w:style w:type="paragraph" w:customStyle="1" w:styleId="72">
    <w:name w:val="样式 42 10 磅"/>
    <w:pPr>
      <w:widowControl w:val="0"/>
      <w:jc w:val="both"/>
    </w:pPr>
    <w:rPr>
      <w:rFonts w:ascii="Calibri" w:eastAsia="宋体" w:cs="Calibri" w:hAnsi="Calibri"/>
      <w:kern w:val="2"/>
      <w:sz w:val="21"/>
      <w:szCs w:val="21"/>
      <w:lang w:val="en-US" w:eastAsia="zh-CN" w:bidi="ar-SA"/>
    </w:rPr>
  </w:style>
  <w:style w:type="paragraph" w:customStyle="1" w:styleId="73">
    <w:name w:val="样式 43 10 磅"/>
    <w:pPr>
      <w:widowControl w:val="0"/>
      <w:jc w:val="both"/>
    </w:pPr>
    <w:rPr>
      <w:rFonts w:ascii="Calibri" w:eastAsia="宋体" w:cs="Calibri" w:hAnsi="Calibri"/>
      <w:kern w:val="2"/>
      <w:sz w:val="21"/>
      <w:szCs w:val="21"/>
      <w:lang w:val="en-US" w:eastAsia="zh-CN" w:bidi="ar-SA"/>
    </w:rPr>
  </w:style>
  <w:style w:type="paragraph" w:customStyle="1" w:styleId="74">
    <w:name w:val="样式 44 10 磅"/>
    <w:pPr>
      <w:widowControl w:val="0"/>
      <w:jc w:val="both"/>
    </w:pPr>
    <w:rPr>
      <w:rFonts w:ascii="Calibri" w:eastAsia="宋体" w:cs="Calibri" w:hAnsi="Calibri"/>
      <w:kern w:val="2"/>
      <w:sz w:val="21"/>
      <w:szCs w:val="21"/>
      <w:lang w:val="en-US" w:eastAsia="zh-CN" w:bidi="ar-SA"/>
    </w:rPr>
  </w:style>
  <w:style w:type="paragraph" w:customStyle="1" w:styleId="75">
    <w:name w:val="样式 45 10 磅"/>
    <w:pPr>
      <w:widowControl w:val="0"/>
      <w:jc w:val="both"/>
    </w:pPr>
    <w:rPr>
      <w:rFonts w:ascii="Calibri" w:eastAsia="宋体" w:cs="Calibri" w:hAnsi="Calibri"/>
      <w:kern w:val="2"/>
      <w:sz w:val="21"/>
      <w:szCs w:val="21"/>
      <w:lang w:val="en-US" w:eastAsia="zh-CN" w:bidi="ar-SA"/>
    </w:rPr>
  </w:style>
  <w:style w:type="paragraph" w:customStyle="1" w:styleId="76">
    <w:name w:val="样式 46 10 磅"/>
    <w:pPr>
      <w:widowControl w:val="0"/>
      <w:jc w:val="both"/>
    </w:pPr>
    <w:rPr>
      <w:rFonts w:ascii="Calibri" w:eastAsia="宋体" w:cs="Calibri" w:hAnsi="Calibri"/>
      <w:kern w:val="2"/>
      <w:sz w:val="21"/>
      <w:szCs w:val="21"/>
      <w:lang w:val="en-US" w:eastAsia="zh-CN" w:bidi="ar-SA"/>
    </w:rPr>
  </w:style>
  <w:style w:type="paragraph" w:customStyle="1" w:styleId="77">
    <w:name w:val="样式 47 10 磅"/>
    <w:pPr>
      <w:widowControl w:val="0"/>
      <w:jc w:val="both"/>
    </w:pPr>
    <w:rPr>
      <w:rFonts w:ascii="Calibri" w:eastAsia="宋体" w:cs="Calibri" w:hAnsi="Calibri"/>
      <w:kern w:val="2"/>
      <w:sz w:val="21"/>
      <w:szCs w:val="21"/>
      <w:lang w:val="en-US" w:eastAsia="zh-CN" w:bidi="ar-SA"/>
    </w:rPr>
  </w:style>
  <w:style w:type="paragraph" w:customStyle="1" w:styleId="78">
    <w:name w:val="样式 48 10 磅"/>
    <w:pPr>
      <w:widowControl w:val="0"/>
      <w:jc w:val="both"/>
    </w:pPr>
    <w:rPr>
      <w:rFonts w:ascii="Calibri" w:eastAsia="宋体" w:cs="Calibri" w:hAnsi="Calibri"/>
      <w:kern w:val="2"/>
      <w:sz w:val="21"/>
      <w:szCs w:val="21"/>
      <w:lang w:val="en-US" w:eastAsia="zh-CN" w:bidi="ar-SA"/>
    </w:rPr>
  </w:style>
  <w:style w:type="paragraph" w:customStyle="1" w:styleId="79">
    <w:name w:val="样式 49 10 磅"/>
    <w:pPr>
      <w:widowControl w:val="0"/>
      <w:jc w:val="both"/>
    </w:pPr>
    <w:rPr>
      <w:rFonts w:ascii="Calibri" w:eastAsia="宋体" w:cs="Calibri" w:hAnsi="Calibri"/>
      <w:kern w:val="2"/>
      <w:sz w:val="21"/>
      <w:szCs w:val="21"/>
      <w:lang w:val="en-US" w:eastAsia="zh-CN" w:bidi="ar-SA"/>
    </w:rPr>
  </w:style>
  <w:style w:type="paragraph" w:customStyle="1" w:styleId="80">
    <w:name w:val="样式 50 10 磅"/>
    <w:pPr>
      <w:widowControl w:val="0"/>
      <w:jc w:val="both"/>
    </w:pPr>
    <w:rPr>
      <w:rFonts w:ascii="Calibri" w:eastAsia="宋体" w:cs="Calibri" w:hAnsi="Calibri"/>
      <w:kern w:val="2"/>
      <w:sz w:val="21"/>
      <w:szCs w:val="21"/>
      <w:lang w:val="en-US" w:eastAsia="zh-CN" w:bidi="ar-SA"/>
    </w:rPr>
  </w:style>
  <w:style w:type="paragraph" w:customStyle="1" w:styleId="81">
    <w:name w:val="样式 51 10 磅"/>
    <w:pPr>
      <w:widowControl w:val="0"/>
      <w:jc w:val="both"/>
    </w:pPr>
    <w:rPr>
      <w:rFonts w:ascii="Calibri" w:eastAsia="宋体" w:cs="Calibri" w:hAnsi="Calibri"/>
      <w:kern w:val="2"/>
      <w:sz w:val="21"/>
      <w:szCs w:val="21"/>
      <w:lang w:val="en-US" w:eastAsia="zh-CN" w:bidi="ar-SA"/>
    </w:rPr>
  </w:style>
  <w:style w:type="paragraph" w:customStyle="1" w:styleId="82">
    <w:name w:val="样式 52 10 磅"/>
    <w:pPr>
      <w:widowControl w:val="0"/>
      <w:jc w:val="both"/>
    </w:pPr>
    <w:rPr>
      <w:rFonts w:ascii="Calibri" w:eastAsia="宋体" w:cs="Calibri" w:hAnsi="Calibri"/>
      <w:kern w:val="2"/>
      <w:sz w:val="21"/>
      <w:szCs w:val="21"/>
      <w:lang w:val="en-US" w:eastAsia="zh-CN" w:bidi="ar-SA"/>
    </w:rPr>
  </w:style>
  <w:style w:type="paragraph" w:customStyle="1" w:styleId="83">
    <w:name w:val="样式 53 10 磅"/>
    <w:pPr>
      <w:widowControl w:val="0"/>
      <w:jc w:val="both"/>
    </w:pPr>
    <w:rPr>
      <w:rFonts w:ascii="Calibri" w:eastAsia="宋体" w:cs="Calibri" w:hAnsi="Calibri"/>
      <w:kern w:val="2"/>
      <w:sz w:val="21"/>
      <w:szCs w:val="21"/>
      <w:lang w:val="en-US" w:eastAsia="zh-CN" w:bidi="ar-SA"/>
    </w:rPr>
  </w:style>
  <w:style w:type="paragraph" w:customStyle="1" w:styleId="84">
    <w:name w:val="样式 54 10 磅"/>
    <w:pPr>
      <w:widowControl w:val="0"/>
      <w:jc w:val="both"/>
    </w:pPr>
    <w:rPr>
      <w:rFonts w:ascii="Calibri" w:eastAsia="宋体" w:cs="Calibri" w:hAnsi="Calibri"/>
      <w:kern w:val="2"/>
      <w:sz w:val="21"/>
      <w:szCs w:val="21"/>
      <w:lang w:val="en-US" w:eastAsia="zh-CN" w:bidi="ar-SA"/>
    </w:rPr>
  </w:style>
  <w:style w:type="paragraph" w:customStyle="1" w:styleId="85">
    <w:name w:val="样式 55 10 磅"/>
    <w:pPr>
      <w:widowControl w:val="0"/>
      <w:jc w:val="both"/>
    </w:pPr>
    <w:rPr>
      <w:rFonts w:ascii="Calibri" w:eastAsia="宋体" w:cs="Calibri" w:hAnsi="Calibri"/>
      <w:kern w:val="2"/>
      <w:sz w:val="21"/>
      <w:szCs w:val="21"/>
      <w:lang w:val="en-US" w:eastAsia="zh-CN" w:bidi="ar-SA"/>
    </w:rPr>
  </w:style>
  <w:style w:type="paragraph" w:customStyle="1" w:styleId="86">
    <w:name w:val="样式 56 10 磅"/>
    <w:pPr>
      <w:widowControl w:val="0"/>
      <w:jc w:val="both"/>
    </w:pPr>
    <w:rPr>
      <w:rFonts w:ascii="Calibri" w:eastAsia="宋体" w:cs="Calibri" w:hAnsi="Calibri"/>
      <w:kern w:val="2"/>
      <w:sz w:val="21"/>
      <w:szCs w:val="21"/>
      <w:lang w:val="en-US" w:eastAsia="zh-CN" w:bidi="ar-SA"/>
    </w:rPr>
  </w:style>
  <w:style w:type="paragraph" w:customStyle="1" w:styleId="87">
    <w:name w:val="样式 57 10 磅"/>
    <w:pPr>
      <w:widowControl w:val="0"/>
      <w:jc w:val="both"/>
    </w:pPr>
    <w:rPr>
      <w:rFonts w:ascii="Calibri" w:eastAsia="宋体" w:cs="Calibri" w:hAnsi="Calibri"/>
      <w:kern w:val="2"/>
      <w:sz w:val="21"/>
      <w:szCs w:val="21"/>
      <w:lang w:val="en-US" w:eastAsia="zh-CN" w:bidi="ar-SA"/>
    </w:rPr>
  </w:style>
  <w:style w:type="paragraph" w:customStyle="1" w:styleId="88">
    <w:name w:val="样式 58 10 磅"/>
    <w:pPr>
      <w:widowControl w:val="0"/>
      <w:jc w:val="both"/>
    </w:pPr>
    <w:rPr>
      <w:rFonts w:ascii="Calibri" w:eastAsia="宋体" w:cs="Calibri" w:hAnsi="Calibri"/>
      <w:kern w:val="2"/>
      <w:sz w:val="21"/>
      <w:szCs w:val="21"/>
      <w:lang w:val="en-US" w:eastAsia="zh-CN" w:bidi="ar-SA"/>
    </w:rPr>
  </w:style>
  <w:style w:type="paragraph" w:customStyle="1" w:styleId="89">
    <w:name w:val="样式 59 10 磅"/>
    <w:pPr>
      <w:widowControl w:val="0"/>
      <w:jc w:val="both"/>
    </w:pPr>
    <w:rPr>
      <w:rFonts w:ascii="Calibri" w:eastAsia="宋体" w:cs="Calibri" w:hAnsi="Calibri"/>
      <w:kern w:val="2"/>
      <w:sz w:val="21"/>
      <w:szCs w:val="21"/>
      <w:lang w:val="en-US" w:eastAsia="zh-CN" w:bidi="ar-SA"/>
    </w:rPr>
  </w:style>
  <w:style w:type="paragraph" w:customStyle="1" w:styleId="90">
    <w:name w:val="样式 60 10 磅"/>
    <w:pPr>
      <w:widowControl w:val="0"/>
      <w:jc w:val="both"/>
    </w:pPr>
    <w:rPr>
      <w:rFonts w:ascii="Calibri" w:eastAsia="宋体" w:cs="Calibri" w:hAnsi="Calibri"/>
      <w:kern w:val="2"/>
      <w:sz w:val="21"/>
      <w:szCs w:val="21"/>
      <w:lang w:val="en-US" w:eastAsia="zh-CN" w:bidi="ar-SA"/>
    </w:rPr>
  </w:style>
  <w:style w:type="paragraph" w:customStyle="1" w:styleId="91">
    <w:name w:val="样式 61 10 磅"/>
    <w:pPr>
      <w:widowControl w:val="0"/>
      <w:jc w:val="both"/>
    </w:pPr>
    <w:rPr>
      <w:rFonts w:ascii="Calibri" w:eastAsia="宋体" w:cs="Calibri" w:hAnsi="Calibri"/>
      <w:kern w:val="2"/>
      <w:sz w:val="21"/>
      <w:szCs w:val="21"/>
      <w:lang w:val="en-US" w:eastAsia="zh-CN" w:bidi="ar-SA"/>
    </w:rPr>
  </w:style>
  <w:style w:type="paragraph" w:customStyle="1" w:styleId="92">
    <w:name w:val="样式 62 10 磅"/>
    <w:pPr>
      <w:widowControl w:val="0"/>
      <w:jc w:val="both"/>
    </w:pPr>
    <w:rPr>
      <w:rFonts w:ascii="Calibri" w:eastAsia="宋体" w:cs="Calibri" w:hAnsi="Calibri"/>
      <w:kern w:val="2"/>
      <w:sz w:val="21"/>
      <w:szCs w:val="21"/>
      <w:lang w:val="en-US" w:eastAsia="zh-CN" w:bidi="ar-SA"/>
    </w:rPr>
  </w:style>
  <w:style w:type="paragraph" w:customStyle="1" w:styleId="93">
    <w:name w:val="样式 63 10 磅"/>
    <w:pPr>
      <w:widowControl w:val="0"/>
      <w:jc w:val="both"/>
    </w:pPr>
    <w:rPr>
      <w:rFonts w:ascii="Calibri" w:eastAsia="宋体" w:cs="Calibri" w:hAnsi="Calibri"/>
      <w:kern w:val="2"/>
      <w:sz w:val="21"/>
      <w:szCs w:val="21"/>
      <w:lang w:val="en-US" w:eastAsia="zh-CN" w:bidi="ar-SA"/>
    </w:rPr>
  </w:style>
  <w:style w:type="paragraph" w:customStyle="1" w:styleId="94">
    <w:name w:val="样式 64 10 磅"/>
    <w:pPr>
      <w:widowControl w:val="0"/>
      <w:jc w:val="both"/>
    </w:pPr>
    <w:rPr>
      <w:rFonts w:ascii="Calibri" w:eastAsia="宋体" w:cs="Calibri" w:hAnsi="Calibri"/>
      <w:kern w:val="2"/>
      <w:sz w:val="21"/>
      <w:szCs w:val="21"/>
      <w:lang w:val="en-US" w:eastAsia="zh-CN" w:bidi="ar-SA"/>
    </w:rPr>
  </w:style>
  <w:style w:type="paragraph" w:customStyle="1" w:styleId="95">
    <w:name w:val="样式 65 10 磅"/>
    <w:pPr>
      <w:widowControl w:val="0"/>
      <w:jc w:val="both"/>
    </w:pPr>
    <w:rPr>
      <w:rFonts w:ascii="Calibri" w:eastAsia="宋体" w:cs="Calibri" w:hAnsi="Calibri"/>
      <w:kern w:val="2"/>
      <w:sz w:val="21"/>
      <w:szCs w:val="21"/>
      <w:lang w:val="en-US" w:eastAsia="zh-CN" w:bidi="ar-SA"/>
    </w:rPr>
  </w:style>
  <w:style w:type="paragraph" w:customStyle="1" w:styleId="96">
    <w:name w:val="样式 66 10 磅"/>
    <w:pPr>
      <w:widowControl w:val="0"/>
      <w:jc w:val="both"/>
    </w:pPr>
    <w:rPr>
      <w:rFonts w:ascii="Calibri" w:eastAsia="宋体" w:cs="Calibri" w:hAnsi="Calibri"/>
      <w:kern w:val="2"/>
      <w:sz w:val="21"/>
      <w:szCs w:val="21"/>
      <w:lang w:val="en-US" w:eastAsia="zh-CN" w:bidi="ar-SA"/>
    </w:rPr>
  </w:style>
  <w:style w:type="paragraph" w:customStyle="1" w:styleId="97">
    <w:name w:val="样式 67 10 磅"/>
    <w:pPr>
      <w:widowControl w:val="0"/>
      <w:jc w:val="both"/>
    </w:pPr>
    <w:rPr>
      <w:rFonts w:ascii="Calibri" w:eastAsia="宋体" w:cs="Calibri" w:hAnsi="Calibri"/>
      <w:kern w:val="2"/>
      <w:sz w:val="21"/>
      <w:szCs w:val="21"/>
      <w:lang w:val="en-US" w:eastAsia="zh-CN" w:bidi="ar-SA"/>
    </w:rPr>
  </w:style>
  <w:style w:type="paragraph" w:customStyle="1" w:styleId="98">
    <w:name w:val="样式 68 10 磅"/>
    <w:pPr>
      <w:widowControl w:val="0"/>
      <w:jc w:val="both"/>
    </w:pPr>
    <w:rPr>
      <w:rFonts w:ascii="Calibri" w:eastAsia="宋体" w:cs="Calibri" w:hAnsi="Calibri"/>
      <w:kern w:val="2"/>
      <w:sz w:val="21"/>
      <w:szCs w:val="21"/>
      <w:lang w:val="en-US" w:eastAsia="zh-CN" w:bidi="ar-SA"/>
    </w:rPr>
  </w:style>
  <w:style w:type="paragraph" w:customStyle="1" w:styleId="99">
    <w:name w:val="样式 69 10 磅"/>
    <w:pPr>
      <w:widowControl w:val="0"/>
      <w:jc w:val="both"/>
    </w:pPr>
    <w:rPr>
      <w:rFonts w:ascii="Calibri" w:eastAsia="宋体" w:cs="Calibri" w:hAnsi="Calibri"/>
      <w:kern w:val="2"/>
      <w:sz w:val="21"/>
      <w:szCs w:val="21"/>
      <w:lang w:val="en-US" w:eastAsia="zh-CN" w:bidi="ar-SA"/>
    </w:rPr>
  </w:style>
  <w:style w:type="paragraph" w:customStyle="1" w:styleId="100">
    <w:name w:val="样式 70 10 磅"/>
    <w:pPr>
      <w:widowControl w:val="0"/>
      <w:jc w:val="both"/>
    </w:pPr>
    <w:rPr>
      <w:rFonts w:ascii="Calibri" w:eastAsia="宋体" w:cs="Calibri" w:hAnsi="Calibri"/>
      <w:kern w:val="2"/>
      <w:sz w:val="21"/>
      <w:szCs w:val="21"/>
      <w:lang w:val="en-US" w:eastAsia="zh-CN" w:bidi="ar-SA"/>
    </w:rPr>
  </w:style>
  <w:style w:type="paragraph" w:customStyle="1" w:styleId="101">
    <w:name w:val="样式 71 10 磅"/>
    <w:pPr>
      <w:widowControl w:val="0"/>
      <w:jc w:val="both"/>
    </w:pPr>
    <w:rPr>
      <w:rFonts w:ascii="Calibri" w:eastAsia="宋体" w:cs="Calibri" w:hAnsi="Calibri"/>
      <w:kern w:val="2"/>
      <w:sz w:val="21"/>
      <w:szCs w:val="21"/>
      <w:lang w:val="en-US" w:eastAsia="zh-CN" w:bidi="ar-SA"/>
    </w:rPr>
  </w:style>
  <w:style w:type="paragraph" w:customStyle="1" w:styleId="102">
    <w:name w:val="样式 72 10 磅"/>
    <w:pPr>
      <w:widowControl w:val="0"/>
      <w:jc w:val="both"/>
    </w:pPr>
    <w:rPr>
      <w:rFonts w:ascii="Calibri" w:eastAsia="宋体" w:cs="Calibri" w:hAnsi="Calibri"/>
      <w:kern w:val="2"/>
      <w:sz w:val="21"/>
      <w:szCs w:val="21"/>
      <w:lang w:val="en-US" w:eastAsia="zh-CN" w:bidi="ar-SA"/>
    </w:rPr>
  </w:style>
  <w:style w:type="paragraph" w:customStyle="1" w:styleId="103">
    <w:name w:val="样式 73 10 磅"/>
    <w:pPr>
      <w:widowControl w:val="0"/>
      <w:jc w:val="both"/>
    </w:pPr>
    <w:rPr>
      <w:rFonts w:ascii="Calibri" w:eastAsia="宋体" w:cs="Calibri" w:hAnsi="Calibri"/>
      <w:kern w:val="2"/>
      <w:sz w:val="21"/>
      <w:szCs w:val="21"/>
      <w:lang w:val="en-US" w:eastAsia="zh-CN" w:bidi="ar-SA"/>
    </w:rPr>
  </w:style>
  <w:style w:type="paragraph" w:customStyle="1" w:styleId="104">
    <w:name w:val="样式 74 10 磅"/>
    <w:pPr>
      <w:widowControl w:val="0"/>
      <w:jc w:val="both"/>
    </w:pPr>
    <w:rPr>
      <w:rFonts w:ascii="Calibri" w:eastAsia="宋体" w:cs="Calibri" w:hAnsi="Calibri"/>
      <w:kern w:val="2"/>
      <w:sz w:val="21"/>
      <w:szCs w:val="21"/>
      <w:lang w:val="en-US" w:eastAsia="zh-CN" w:bidi="ar-SA"/>
    </w:rPr>
  </w:style>
  <w:style w:type="paragraph" w:customStyle="1" w:styleId="105">
    <w:name w:val="样式 75 10 磅"/>
    <w:pPr>
      <w:widowControl w:val="0"/>
      <w:jc w:val="both"/>
    </w:pPr>
    <w:rPr>
      <w:rFonts w:ascii="Calibri" w:eastAsia="宋体" w:cs="Calibri" w:hAnsi="Calibri"/>
      <w:kern w:val="2"/>
      <w:sz w:val="21"/>
      <w:szCs w:val="21"/>
      <w:lang w:val="en-US" w:eastAsia="zh-CN" w:bidi="ar-SA"/>
    </w:rPr>
  </w:style>
  <w:style w:type="paragraph" w:customStyle="1" w:styleId="106">
    <w:name w:val="样式 76 10 磅"/>
    <w:pPr>
      <w:widowControl w:val="0"/>
      <w:jc w:val="both"/>
    </w:pPr>
    <w:rPr>
      <w:rFonts w:ascii="Calibri" w:eastAsia="宋体" w:cs="Calibri" w:hAnsi="Calibri"/>
      <w:kern w:val="2"/>
      <w:sz w:val="21"/>
      <w:szCs w:val="21"/>
      <w:lang w:val="en-US" w:eastAsia="zh-CN" w:bidi="ar-SA"/>
    </w:rPr>
  </w:style>
  <w:style w:type="paragraph" w:customStyle="1" w:styleId="107">
    <w:name w:val="样式 77 10 磅"/>
    <w:pPr>
      <w:widowControl w:val="0"/>
      <w:jc w:val="both"/>
    </w:pPr>
    <w:rPr>
      <w:rFonts w:ascii="Calibri" w:eastAsia="宋体" w:cs="Calibri" w:hAnsi="Calibri"/>
      <w:kern w:val="2"/>
      <w:sz w:val="21"/>
      <w:szCs w:val="21"/>
      <w:lang w:val="en-US" w:eastAsia="zh-CN" w:bidi="ar-SA"/>
    </w:rPr>
  </w:style>
  <w:style w:type="paragraph" w:customStyle="1" w:styleId="108">
    <w:name w:val="样式 78 10 磅"/>
    <w:pPr>
      <w:widowControl w:val="0"/>
      <w:jc w:val="both"/>
    </w:pPr>
    <w:rPr>
      <w:rFonts w:ascii="Calibri" w:eastAsia="宋体" w:cs="Calibri" w:hAnsi="Calibri"/>
      <w:kern w:val="2"/>
      <w:sz w:val="21"/>
      <w:szCs w:val="21"/>
      <w:lang w:val="en-US" w:eastAsia="zh-CN" w:bidi="ar-SA"/>
    </w:rPr>
  </w:style>
  <w:style w:type="paragraph" w:customStyle="1" w:styleId="109">
    <w:name w:val="样式 79 10 磅"/>
    <w:pPr>
      <w:widowControl w:val="0"/>
      <w:jc w:val="both"/>
    </w:pPr>
    <w:rPr>
      <w:rFonts w:ascii="Calibri" w:eastAsia="宋体" w:cs="Calibri" w:hAnsi="Calibri"/>
      <w:kern w:val="2"/>
      <w:sz w:val="21"/>
      <w:szCs w:val="21"/>
      <w:lang w:val="en-US" w:eastAsia="zh-CN" w:bidi="ar-SA"/>
    </w:rPr>
  </w:style>
  <w:style w:type="paragraph" w:customStyle="1" w:styleId="110">
    <w:name w:val="样式 80 10 磅"/>
    <w:pPr>
      <w:widowControl w:val="0"/>
      <w:jc w:val="both"/>
    </w:pPr>
    <w:rPr>
      <w:rFonts w:ascii="Calibri" w:eastAsia="宋体" w:cs="Calibri" w:hAnsi="Calibri"/>
      <w:kern w:val="2"/>
      <w:sz w:val="21"/>
      <w:szCs w:val="21"/>
      <w:lang w:val="en-US" w:eastAsia="zh-CN" w:bidi="ar-SA"/>
    </w:rPr>
  </w:style>
  <w:style w:type="paragraph" w:customStyle="1" w:styleId="111">
    <w:name w:val="样式 81 10 磅"/>
    <w:pPr>
      <w:widowControl w:val="0"/>
      <w:jc w:val="both"/>
    </w:pPr>
    <w:rPr>
      <w:rFonts w:ascii="Calibri" w:eastAsia="宋体" w:cs="Calibri" w:hAnsi="Calibri"/>
      <w:kern w:val="2"/>
      <w:sz w:val="21"/>
      <w:szCs w:val="21"/>
      <w:lang w:val="en-US" w:eastAsia="zh-CN" w:bidi="ar-SA"/>
    </w:rPr>
  </w:style>
  <w:style w:type="paragraph" w:customStyle="1" w:styleId="112">
    <w:name w:val="样式 82 10 磅"/>
    <w:pPr>
      <w:widowControl w:val="0"/>
      <w:jc w:val="both"/>
    </w:pPr>
    <w:rPr>
      <w:rFonts w:ascii="Calibri" w:eastAsia="宋体" w:cs="Calibri" w:hAnsi="Calibri"/>
      <w:kern w:val="2"/>
      <w:sz w:val="21"/>
      <w:szCs w:val="21"/>
      <w:lang w:val="en-US" w:eastAsia="zh-CN" w:bidi="ar-SA"/>
    </w:rPr>
  </w:style>
  <w:style w:type="paragraph" w:customStyle="1" w:styleId="113">
    <w:name w:val="样式 83 10 磅"/>
    <w:pPr>
      <w:widowControl w:val="0"/>
      <w:jc w:val="both"/>
    </w:pPr>
    <w:rPr>
      <w:rFonts w:ascii="Calibri" w:eastAsia="宋体" w:cs="Calibri" w:hAnsi="Calibri"/>
      <w:kern w:val="2"/>
      <w:sz w:val="21"/>
      <w:szCs w:val="21"/>
      <w:lang w:val="en-US" w:eastAsia="zh-CN" w:bidi="ar-SA"/>
    </w:rPr>
  </w:style>
  <w:style w:type="paragraph" w:customStyle="1" w:styleId="114">
    <w:name w:val="样式 84 10 磅"/>
    <w:pPr>
      <w:widowControl w:val="0"/>
      <w:jc w:val="both"/>
    </w:pPr>
    <w:rPr>
      <w:rFonts w:ascii="Calibri" w:eastAsia="宋体" w:cs="Calibri" w:hAnsi="Calibri"/>
      <w:kern w:val="2"/>
      <w:sz w:val="21"/>
      <w:szCs w:val="21"/>
      <w:lang w:val="en-US" w:eastAsia="zh-CN" w:bidi="ar-SA"/>
    </w:rPr>
  </w:style>
  <w:style w:type="paragraph" w:customStyle="1" w:styleId="115">
    <w:name w:val="样式 85 10 磅"/>
    <w:pPr>
      <w:widowControl w:val="0"/>
      <w:jc w:val="both"/>
    </w:pPr>
    <w:rPr>
      <w:rFonts w:ascii="Calibri" w:eastAsia="宋体" w:cs="Calibri" w:hAnsi="Calibri"/>
      <w:kern w:val="2"/>
      <w:sz w:val="21"/>
      <w:szCs w:val="21"/>
      <w:lang w:val="en-US" w:eastAsia="zh-CN" w:bidi="ar-SA"/>
    </w:rPr>
  </w:style>
  <w:style w:type="paragraph" w:customStyle="1" w:styleId="116">
    <w:name w:val="样式 86 10 磅"/>
    <w:pPr>
      <w:widowControl w:val="0"/>
      <w:jc w:val="both"/>
    </w:pPr>
    <w:rPr>
      <w:rFonts w:ascii="Calibri" w:eastAsia="宋体" w:cs="Calibri" w:hAnsi="Calibri"/>
      <w:kern w:val="2"/>
      <w:sz w:val="21"/>
      <w:szCs w:val="21"/>
      <w:lang w:val="en-US" w:eastAsia="zh-CN" w:bidi="ar-SA"/>
    </w:rPr>
  </w:style>
  <w:style w:type="paragraph" w:customStyle="1" w:styleId="117">
    <w:name w:val="样式 87 10 磅"/>
    <w:pPr>
      <w:widowControl w:val="0"/>
      <w:jc w:val="both"/>
    </w:pPr>
    <w:rPr>
      <w:rFonts w:ascii="Calibri" w:eastAsia="宋体" w:cs="Calibri" w:hAnsi="Calibri"/>
      <w:kern w:val="2"/>
      <w:sz w:val="21"/>
      <w:szCs w:val="21"/>
      <w:lang w:val="en-US" w:eastAsia="zh-CN" w:bidi="ar-SA"/>
    </w:rPr>
  </w:style>
  <w:style w:type="paragraph" w:customStyle="1" w:styleId="118">
    <w:name w:val="样式 88 10 磅"/>
    <w:pPr>
      <w:widowControl w:val="0"/>
      <w:jc w:val="both"/>
    </w:pPr>
    <w:rPr>
      <w:rFonts w:ascii="Calibri" w:eastAsia="宋体" w:cs="Calibri" w:hAnsi="Calibri"/>
      <w:kern w:val="2"/>
      <w:sz w:val="21"/>
      <w:szCs w:val="21"/>
      <w:lang w:val="en-US" w:eastAsia="zh-CN" w:bidi="ar-SA"/>
    </w:rPr>
  </w:style>
  <w:style w:type="paragraph" w:customStyle="1" w:styleId="119">
    <w:name w:val="样式 89 10 磅"/>
    <w:pPr>
      <w:widowControl w:val="0"/>
      <w:jc w:val="both"/>
    </w:pPr>
    <w:rPr>
      <w:rFonts w:ascii="Calibri" w:eastAsia="宋体" w:cs="Calibri" w:hAnsi="Calibri"/>
      <w:kern w:val="2"/>
      <w:sz w:val="21"/>
      <w:szCs w:val="21"/>
      <w:lang w:val="en-US" w:eastAsia="zh-CN" w:bidi="ar-SA"/>
    </w:rPr>
  </w:style>
  <w:style w:type="paragraph" w:customStyle="1" w:styleId="120">
    <w:name w:val="样式 90 10 磅"/>
    <w:pPr>
      <w:widowControl w:val="0"/>
      <w:jc w:val="both"/>
    </w:pPr>
    <w:rPr>
      <w:rFonts w:ascii="Calibri" w:eastAsia="宋体" w:cs="Calibri" w:hAnsi="Calibri"/>
      <w:kern w:val="2"/>
      <w:sz w:val="21"/>
      <w:szCs w:val="21"/>
      <w:lang w:val="en-US" w:eastAsia="zh-CN" w:bidi="ar-SA"/>
    </w:rPr>
  </w:style>
  <w:style w:type="paragraph" w:customStyle="1" w:styleId="121">
    <w:name w:val="样式 91 10 磅"/>
    <w:pPr>
      <w:widowControl w:val="0"/>
      <w:jc w:val="both"/>
    </w:pPr>
    <w:rPr>
      <w:rFonts w:ascii="Calibri" w:eastAsia="宋体" w:cs="Calibri" w:hAnsi="Calibri"/>
      <w:kern w:val="2"/>
      <w:sz w:val="21"/>
      <w:szCs w:val="21"/>
      <w:lang w:val="en-US" w:eastAsia="zh-CN" w:bidi="ar-SA"/>
    </w:rPr>
  </w:style>
  <w:style w:type="paragraph" w:customStyle="1" w:styleId="122">
    <w:name w:val="样式 92 10 磅"/>
    <w:pPr>
      <w:widowControl w:val="0"/>
      <w:jc w:val="both"/>
    </w:pPr>
    <w:rPr>
      <w:rFonts w:ascii="Calibri" w:eastAsia="宋体" w:cs="Calibri" w:hAnsi="Calibri"/>
      <w:kern w:val="2"/>
      <w:sz w:val="21"/>
      <w:szCs w:val="21"/>
      <w:lang w:val="en-US" w:eastAsia="zh-CN" w:bidi="ar-SA"/>
    </w:rPr>
  </w:style>
  <w:style w:type="paragraph" w:customStyle="1" w:styleId="123">
    <w:name w:val="样式 93 10 磅"/>
    <w:pPr>
      <w:widowControl w:val="0"/>
      <w:jc w:val="both"/>
    </w:pPr>
    <w:rPr>
      <w:rFonts w:ascii="Calibri" w:eastAsia="宋体" w:cs="Calibri" w:hAnsi="Calibri"/>
      <w:kern w:val="2"/>
      <w:sz w:val="21"/>
      <w:szCs w:val="21"/>
      <w:lang w:val="en-US" w:eastAsia="zh-CN" w:bidi="ar-SA"/>
    </w:rPr>
  </w:style>
  <w:style w:type="paragraph" w:customStyle="1" w:styleId="124">
    <w:name w:val="样式 94 10 磅"/>
    <w:pPr>
      <w:widowControl w:val="0"/>
      <w:jc w:val="both"/>
    </w:pPr>
    <w:rPr>
      <w:rFonts w:ascii="Calibri" w:eastAsia="宋体" w:cs="Calibri" w:hAnsi="Calibri"/>
      <w:kern w:val="2"/>
      <w:sz w:val="21"/>
      <w:szCs w:val="21"/>
      <w:lang w:val="en-US" w:eastAsia="zh-CN" w:bidi="ar-SA"/>
    </w:rPr>
  </w:style>
  <w:style w:type="paragraph" w:customStyle="1" w:styleId="125">
    <w:name w:val="样式 95 10 磅"/>
    <w:pPr>
      <w:widowControl w:val="0"/>
      <w:jc w:val="both"/>
    </w:pPr>
    <w:rPr>
      <w:rFonts w:ascii="Calibri" w:eastAsia="宋体" w:cs="Calibri" w:hAnsi="Calibri"/>
      <w:kern w:val="2"/>
      <w:sz w:val="21"/>
      <w:szCs w:val="21"/>
      <w:lang w:val="en-US" w:eastAsia="zh-CN" w:bidi="ar-SA"/>
    </w:rPr>
  </w:style>
  <w:style w:type="paragraph" w:customStyle="1" w:styleId="126">
    <w:name w:val="样式 96 10 磅"/>
    <w:pPr>
      <w:widowControl w:val="0"/>
      <w:jc w:val="both"/>
    </w:pPr>
    <w:rPr>
      <w:rFonts w:ascii="Calibri" w:eastAsia="宋体" w:cs="Calibri" w:hAnsi="Calibri"/>
      <w:kern w:val="2"/>
      <w:sz w:val="21"/>
      <w:szCs w:val="21"/>
      <w:lang w:val="en-US" w:eastAsia="zh-CN" w:bidi="ar-SA"/>
    </w:rPr>
  </w:style>
  <w:style w:type="paragraph" w:customStyle="1" w:styleId="127">
    <w:name w:val="样式 97 10 磅"/>
    <w:pPr>
      <w:widowControl w:val="0"/>
      <w:jc w:val="both"/>
    </w:pPr>
    <w:rPr>
      <w:rFonts w:ascii="Calibri" w:eastAsia="宋体" w:cs="Calibri" w:hAnsi="Calibri"/>
      <w:kern w:val="2"/>
      <w:sz w:val="21"/>
      <w:szCs w:val="21"/>
      <w:lang w:val="en-US" w:eastAsia="zh-CN" w:bidi="ar-SA"/>
    </w:rPr>
  </w:style>
  <w:style w:type="paragraph" w:customStyle="1" w:styleId="128">
    <w:name w:val="样式 98 10 磅"/>
    <w:pPr>
      <w:widowControl w:val="0"/>
      <w:jc w:val="both"/>
    </w:pPr>
    <w:rPr>
      <w:rFonts w:ascii="Calibri" w:eastAsia="宋体" w:cs="Calibri" w:hAnsi="Calibri"/>
      <w:kern w:val="2"/>
      <w:sz w:val="21"/>
      <w:szCs w:val="21"/>
      <w:lang w:val="en-US" w:eastAsia="zh-CN" w:bidi="ar-SA"/>
    </w:rPr>
  </w:style>
  <w:style w:type="paragraph" w:customStyle="1" w:styleId="129">
    <w:name w:val="样式 99 10 磅"/>
    <w:pPr>
      <w:widowControl w:val="0"/>
      <w:jc w:val="both"/>
    </w:pPr>
    <w:rPr>
      <w:rFonts w:ascii="Calibri" w:eastAsia="宋体" w:cs="Calibri" w:hAnsi="Calibri"/>
      <w:kern w:val="2"/>
      <w:sz w:val="21"/>
      <w:szCs w:val="21"/>
      <w:lang w:val="en-US" w:eastAsia="zh-CN" w:bidi="ar-SA"/>
    </w:rPr>
  </w:style>
  <w:style w:type="paragraph" w:customStyle="1" w:styleId="130">
    <w:name w:val="样式 100 10 磅"/>
    <w:pPr>
      <w:widowControl w:val="0"/>
      <w:jc w:val="both"/>
    </w:pPr>
    <w:rPr>
      <w:rFonts w:ascii="Calibri" w:eastAsia="宋体" w:cs="Calibri" w:hAnsi="Calibri"/>
      <w:kern w:val="2"/>
      <w:sz w:val="21"/>
      <w:szCs w:val="21"/>
      <w:lang w:val="en-US" w:eastAsia="zh-CN" w:bidi="ar-SA"/>
    </w:rPr>
  </w:style>
  <w:style w:type="paragraph" w:customStyle="1" w:styleId="131">
    <w:name w:val="样式 101 10 磅"/>
    <w:pPr>
      <w:widowControl w:val="0"/>
      <w:jc w:val="both"/>
    </w:pPr>
    <w:rPr>
      <w:rFonts w:ascii="Calibri" w:eastAsia="宋体" w:cs="Calibri" w:hAnsi="Calibri"/>
      <w:kern w:val="2"/>
      <w:sz w:val="21"/>
      <w:szCs w:val="21"/>
      <w:lang w:val="en-US" w:eastAsia="zh-CN" w:bidi="ar-SA"/>
    </w:rPr>
  </w:style>
  <w:style w:type="paragraph" w:customStyle="1" w:styleId="132">
    <w:name w:val="样式 102 10 磅"/>
    <w:pPr>
      <w:widowControl w:val="0"/>
      <w:jc w:val="both"/>
    </w:pPr>
    <w:rPr>
      <w:rFonts w:ascii="Calibri" w:eastAsia="宋体" w:cs="Calibri" w:hAnsi="Calibri"/>
      <w:kern w:val="2"/>
      <w:sz w:val="21"/>
      <w:szCs w:val="21"/>
      <w:lang w:val="en-US" w:eastAsia="zh-CN" w:bidi="ar-SA"/>
    </w:rPr>
  </w:style>
  <w:style w:type="paragraph" w:customStyle="1" w:styleId="133">
    <w:name w:val="样式 103 10 磅"/>
    <w:pPr>
      <w:widowControl w:val="0"/>
      <w:jc w:val="both"/>
    </w:pPr>
    <w:rPr>
      <w:rFonts w:ascii="Calibri" w:eastAsia="宋体" w:cs="Calibri" w:hAnsi="Calibri"/>
      <w:kern w:val="2"/>
      <w:sz w:val="21"/>
      <w:szCs w:val="21"/>
      <w:lang w:val="en-US" w:eastAsia="zh-CN" w:bidi="ar-SA"/>
    </w:rPr>
  </w:style>
  <w:style w:type="paragraph" w:customStyle="1" w:styleId="134">
    <w:name w:val="样式 104 10 磅"/>
    <w:pPr>
      <w:widowControl w:val="0"/>
      <w:jc w:val="both"/>
    </w:pPr>
    <w:rPr>
      <w:rFonts w:ascii="Calibri" w:eastAsia="宋体" w:cs="Calibri" w:hAnsi="Calibri"/>
      <w:kern w:val="2"/>
      <w:sz w:val="21"/>
      <w:szCs w:val="21"/>
      <w:lang w:val="en-US" w:eastAsia="zh-CN" w:bidi="ar-SA"/>
    </w:rPr>
  </w:style>
  <w:style w:type="paragraph" w:customStyle="1" w:styleId="135">
    <w:name w:val="样式 105 10 磅"/>
    <w:pPr>
      <w:widowControl w:val="0"/>
      <w:jc w:val="both"/>
    </w:pPr>
    <w:rPr>
      <w:rFonts w:ascii="Calibri" w:eastAsia="宋体" w:cs="Calibri" w:hAnsi="Calibri"/>
      <w:kern w:val="2"/>
      <w:sz w:val="21"/>
      <w:szCs w:val="21"/>
      <w:lang w:val="en-US" w:eastAsia="zh-CN" w:bidi="ar-SA"/>
    </w:rPr>
  </w:style>
  <w:style w:type="paragraph" w:customStyle="1" w:styleId="136">
    <w:name w:val="样式 106 10 磅"/>
    <w:pPr>
      <w:widowControl w:val="0"/>
      <w:jc w:val="both"/>
    </w:pPr>
    <w:rPr>
      <w:rFonts w:ascii="Calibri" w:eastAsia="宋体" w:cs="Calibri" w:hAnsi="Calibri"/>
      <w:kern w:val="2"/>
      <w:sz w:val="21"/>
      <w:szCs w:val="21"/>
      <w:lang w:val="en-US" w:eastAsia="zh-CN" w:bidi="ar-SA"/>
    </w:rPr>
  </w:style>
  <w:style w:type="paragraph" w:customStyle="1" w:styleId="137">
    <w:name w:val="样式 107 10 磅"/>
    <w:pPr>
      <w:widowControl w:val="0"/>
      <w:jc w:val="both"/>
    </w:pPr>
    <w:rPr>
      <w:rFonts w:ascii="Calibri" w:eastAsia="宋体" w:cs="Calibri" w:hAnsi="Calibri"/>
      <w:kern w:val="2"/>
      <w:sz w:val="21"/>
      <w:szCs w:val="21"/>
      <w:lang w:val="en-US" w:eastAsia="zh-CN" w:bidi="ar-SA"/>
    </w:rPr>
  </w:style>
  <w:style w:type="paragraph" w:customStyle="1" w:styleId="138">
    <w:name w:val="样式 108 10 磅"/>
    <w:pPr>
      <w:widowControl w:val="0"/>
      <w:jc w:val="both"/>
    </w:pPr>
    <w:rPr>
      <w:rFonts w:ascii="Calibri" w:eastAsia="宋体" w:cs="Calibri" w:hAnsi="Calibri"/>
      <w:kern w:val="2"/>
      <w:sz w:val="21"/>
      <w:szCs w:val="21"/>
      <w:lang w:val="en-US" w:eastAsia="zh-CN" w:bidi="ar-SA"/>
    </w:rPr>
  </w:style>
  <w:style w:type="paragraph" w:customStyle="1" w:styleId="139">
    <w:name w:val="样式 109 10 磅"/>
    <w:pPr>
      <w:widowControl w:val="0"/>
      <w:jc w:val="both"/>
    </w:pPr>
    <w:rPr>
      <w:rFonts w:ascii="Calibri" w:eastAsia="宋体" w:cs="Calibri" w:hAnsi="Calibri"/>
      <w:kern w:val="2"/>
      <w:sz w:val="21"/>
      <w:szCs w:val="21"/>
      <w:lang w:val="en-US" w:eastAsia="zh-CN" w:bidi="ar-SA"/>
    </w:rPr>
  </w:style>
  <w:style w:type="paragraph" w:customStyle="1" w:styleId="140">
    <w:name w:val="样式 110 10 磅"/>
    <w:pPr>
      <w:widowControl w:val="0"/>
      <w:jc w:val="both"/>
    </w:pPr>
    <w:rPr>
      <w:rFonts w:ascii="Calibri" w:eastAsia="宋体" w:cs="Calibri" w:hAnsi="Calibri"/>
      <w:kern w:val="2"/>
      <w:sz w:val="21"/>
      <w:szCs w:val="21"/>
      <w:lang w:val="en-US" w:eastAsia="zh-CN" w:bidi="ar-SA"/>
    </w:rPr>
  </w:style>
  <w:style w:type="paragraph" w:customStyle="1" w:styleId="141">
    <w:name w:val="样式 111 10 磅"/>
    <w:pPr>
      <w:widowControl w:val="0"/>
      <w:jc w:val="both"/>
    </w:pPr>
    <w:rPr>
      <w:rFonts w:ascii="Calibri" w:eastAsia="宋体" w:cs="Calibri" w:hAnsi="Calibri"/>
      <w:kern w:val="2"/>
      <w:sz w:val="21"/>
      <w:szCs w:val="21"/>
      <w:lang w:val="en-US" w:eastAsia="zh-CN" w:bidi="ar-SA"/>
    </w:rPr>
  </w:style>
  <w:style w:type="paragraph" w:customStyle="1" w:styleId="142">
    <w:name w:val="样式 112 10 磅"/>
    <w:pPr>
      <w:widowControl w:val="0"/>
      <w:jc w:val="both"/>
    </w:pPr>
    <w:rPr>
      <w:rFonts w:ascii="Calibri" w:eastAsia="宋体" w:cs="Calibri" w:hAnsi="Calibri"/>
      <w:kern w:val="2"/>
      <w:sz w:val="21"/>
      <w:szCs w:val="21"/>
      <w:lang w:val="en-US" w:eastAsia="zh-CN" w:bidi="ar-SA"/>
    </w:rPr>
  </w:style>
  <w:style w:type="paragraph" w:customStyle="1" w:styleId="143">
    <w:name w:val="样式 113 10 磅"/>
    <w:pPr>
      <w:widowControl w:val="0"/>
      <w:jc w:val="both"/>
    </w:pPr>
    <w:rPr>
      <w:rFonts w:ascii="Calibri" w:eastAsia="宋体" w:cs="Calibri" w:hAnsi="Calibri"/>
      <w:kern w:val="2"/>
      <w:sz w:val="21"/>
      <w:szCs w:val="21"/>
      <w:lang w:val="en-US" w:eastAsia="zh-CN" w:bidi="ar-SA"/>
    </w:rPr>
  </w:style>
  <w:style w:type="paragraph" w:customStyle="1" w:styleId="144">
    <w:name w:val="样式 114 10 磅"/>
    <w:pPr>
      <w:widowControl w:val="0"/>
      <w:jc w:val="both"/>
    </w:pPr>
    <w:rPr>
      <w:rFonts w:ascii="Calibri" w:eastAsia="宋体" w:cs="Calibri" w:hAnsi="Calibri"/>
      <w:kern w:val="2"/>
      <w:sz w:val="21"/>
      <w:szCs w:val="21"/>
      <w:lang w:val="en-US" w:eastAsia="zh-CN" w:bidi="ar-SA"/>
    </w:rPr>
  </w:style>
  <w:style w:type="paragraph" w:customStyle="1" w:styleId="145">
    <w:name w:val="样式 115 10 磅"/>
    <w:pPr>
      <w:widowControl w:val="0"/>
      <w:jc w:val="both"/>
    </w:pPr>
    <w:rPr>
      <w:rFonts w:ascii="Calibri" w:eastAsia="宋体" w:cs="Calibri" w:hAnsi="Calibri"/>
      <w:kern w:val="2"/>
      <w:sz w:val="21"/>
      <w:szCs w:val="21"/>
      <w:lang w:val="en-US" w:eastAsia="zh-CN" w:bidi="ar-SA"/>
    </w:rPr>
  </w:style>
  <w:style w:type="paragraph" w:customStyle="1" w:styleId="146">
    <w:name w:val="样式 116 10 磅"/>
    <w:pPr>
      <w:widowControl w:val="0"/>
      <w:jc w:val="both"/>
    </w:pPr>
    <w:rPr>
      <w:rFonts w:ascii="Calibri" w:eastAsia="宋体" w:cs="Calibri" w:hAnsi="Calibri"/>
      <w:kern w:val="2"/>
      <w:sz w:val="21"/>
      <w:szCs w:val="21"/>
      <w:lang w:val="en-US" w:eastAsia="zh-CN" w:bidi="ar-SA"/>
    </w:rPr>
  </w:style>
  <w:style w:type="paragraph" w:customStyle="1" w:styleId="147">
    <w:name w:val="样式 117 10 磅"/>
    <w:pPr>
      <w:widowControl w:val="0"/>
      <w:jc w:val="both"/>
    </w:pPr>
    <w:rPr>
      <w:rFonts w:ascii="Calibri" w:eastAsia="宋体" w:cs="Calibri" w:hAnsi="Calibri"/>
      <w:kern w:val="2"/>
      <w:sz w:val="21"/>
      <w:szCs w:val="21"/>
      <w:lang w:val="en-US" w:eastAsia="zh-CN" w:bidi="ar-SA"/>
    </w:rPr>
  </w:style>
  <w:style w:type="paragraph" w:customStyle="1" w:styleId="148">
    <w:name w:val="样式 118 10 磅"/>
    <w:pPr>
      <w:widowControl w:val="0"/>
      <w:jc w:val="both"/>
    </w:pPr>
    <w:rPr>
      <w:rFonts w:ascii="Calibri" w:eastAsia="宋体" w:cs="Calibri" w:hAnsi="Calibri"/>
      <w:kern w:val="2"/>
      <w:sz w:val="21"/>
      <w:szCs w:val="21"/>
      <w:lang w:val="en-US" w:eastAsia="zh-CN" w:bidi="ar-SA"/>
    </w:rPr>
  </w:style>
  <w:style w:type="paragraph" w:customStyle="1" w:styleId="149">
    <w:name w:val="样式 119 10 磅"/>
    <w:pPr>
      <w:widowControl w:val="0"/>
      <w:jc w:val="both"/>
    </w:pPr>
    <w:rPr>
      <w:rFonts w:ascii="Calibri" w:eastAsia="宋体" w:cs="Calibri" w:hAnsi="Calibri"/>
      <w:kern w:val="2"/>
      <w:sz w:val="21"/>
      <w:szCs w:val="21"/>
      <w:lang w:val="en-US" w:eastAsia="zh-CN" w:bidi="ar-SA"/>
    </w:rPr>
  </w:style>
  <w:style w:type="paragraph" w:customStyle="1" w:styleId="150">
    <w:name w:val="样式 120 10 磅"/>
    <w:pPr>
      <w:widowControl w:val="0"/>
      <w:jc w:val="both"/>
    </w:pPr>
    <w:rPr>
      <w:rFonts w:ascii="Calibri" w:eastAsia="宋体" w:cs="Calibri" w:hAnsi="Calibri"/>
      <w:kern w:val="2"/>
      <w:sz w:val="21"/>
      <w:szCs w:val="21"/>
      <w:lang w:val="en-US" w:eastAsia="zh-CN" w:bidi="ar-SA"/>
    </w:rPr>
  </w:style>
  <w:style w:type="paragraph" w:customStyle="1" w:styleId="151">
    <w:name w:val="样式 121 10 磅"/>
    <w:pPr>
      <w:widowControl w:val="0"/>
      <w:jc w:val="both"/>
    </w:pPr>
    <w:rPr>
      <w:rFonts w:ascii="Calibri" w:eastAsia="宋体" w:cs="Calibri" w:hAnsi="Calibri"/>
      <w:kern w:val="2"/>
      <w:sz w:val="21"/>
      <w:szCs w:val="21"/>
      <w:lang w:val="en-US" w:eastAsia="zh-CN" w:bidi="ar-SA"/>
    </w:rPr>
  </w:style>
  <w:style w:type="paragraph" w:customStyle="1" w:styleId="152">
    <w:name w:val="样式 122 10 磅"/>
    <w:pPr>
      <w:widowControl w:val="0"/>
      <w:jc w:val="both"/>
    </w:pPr>
    <w:rPr>
      <w:rFonts w:ascii="Calibri" w:eastAsia="宋体" w:cs="Calibri" w:hAnsi="Calibri"/>
      <w:kern w:val="2"/>
      <w:sz w:val="21"/>
      <w:szCs w:val="21"/>
      <w:lang w:val="en-US" w:eastAsia="zh-CN" w:bidi="ar-SA"/>
    </w:rPr>
  </w:style>
  <w:style w:type="paragraph" w:customStyle="1" w:styleId="153">
    <w:name w:val="样式 123 10 磅"/>
    <w:pPr>
      <w:widowControl w:val="0"/>
      <w:jc w:val="both"/>
    </w:pPr>
    <w:rPr>
      <w:rFonts w:ascii="Calibri" w:eastAsia="宋体" w:cs="Calibri" w:hAnsi="Calibri"/>
      <w:kern w:val="2"/>
      <w:sz w:val="21"/>
      <w:szCs w:val="21"/>
      <w:lang w:val="en-US" w:eastAsia="zh-CN" w:bidi="ar-SA"/>
    </w:rPr>
  </w:style>
  <w:style w:type="paragraph" w:customStyle="1" w:styleId="154">
    <w:name w:val="样式 124 10 磅"/>
    <w:pPr>
      <w:widowControl w:val="0"/>
      <w:jc w:val="both"/>
    </w:pPr>
    <w:rPr>
      <w:rFonts w:ascii="Calibri" w:eastAsia="宋体" w:cs="Calibri" w:hAnsi="Calibri"/>
      <w:kern w:val="2"/>
      <w:sz w:val="21"/>
      <w:szCs w:val="21"/>
      <w:lang w:val="en-US" w:eastAsia="zh-CN" w:bidi="ar-SA"/>
    </w:rPr>
  </w:style>
  <w:style w:type="paragraph" w:customStyle="1" w:styleId="155">
    <w:name w:val="样式 125 10 磅"/>
    <w:pPr>
      <w:widowControl w:val="0"/>
      <w:jc w:val="both"/>
    </w:pPr>
    <w:rPr>
      <w:rFonts w:ascii="Calibri" w:eastAsia="宋体" w:cs="Calibri" w:hAnsi="Calibri"/>
      <w:kern w:val="2"/>
      <w:sz w:val="21"/>
      <w:szCs w:val="21"/>
      <w:lang w:val="en-US" w:eastAsia="zh-CN" w:bidi="ar-SA"/>
    </w:rPr>
  </w:style>
  <w:style w:type="paragraph" w:customStyle="1" w:styleId="156">
    <w:name w:val="样式 126 10 磅"/>
    <w:pPr>
      <w:widowControl w:val="0"/>
      <w:jc w:val="both"/>
    </w:pPr>
    <w:rPr>
      <w:rFonts w:ascii="Calibri" w:eastAsia="宋体" w:cs="Calibri" w:hAnsi="Calibri"/>
      <w:kern w:val="2"/>
      <w:sz w:val="21"/>
      <w:szCs w:val="21"/>
      <w:lang w:val="en-US" w:eastAsia="zh-CN" w:bidi="ar-SA"/>
    </w:rPr>
  </w:style>
  <w:style w:type="paragraph" w:customStyle="1" w:styleId="157">
    <w:name w:val="样式 127 10 磅"/>
    <w:pPr>
      <w:widowControl w:val="0"/>
      <w:jc w:val="both"/>
    </w:pPr>
    <w:rPr>
      <w:rFonts w:ascii="Calibri" w:eastAsia="宋体" w:cs="Calibri" w:hAnsi="Calibri"/>
      <w:kern w:val="2"/>
      <w:sz w:val="21"/>
      <w:szCs w:val="21"/>
      <w:lang w:val="en-US" w:eastAsia="zh-CN" w:bidi="ar-SA"/>
    </w:rPr>
  </w:style>
  <w:style w:type="paragraph" w:customStyle="1" w:styleId="158">
    <w:name w:val="样式 128 10 磅"/>
    <w:pPr>
      <w:widowControl w:val="0"/>
      <w:jc w:val="both"/>
    </w:pPr>
    <w:rPr>
      <w:rFonts w:ascii="Calibri" w:eastAsia="宋体" w:cs="Calibri" w:hAnsi="Calibri"/>
      <w:kern w:val="2"/>
      <w:sz w:val="21"/>
      <w:szCs w:val="21"/>
      <w:lang w:val="en-US" w:eastAsia="zh-CN" w:bidi="ar-SA"/>
    </w:rPr>
  </w:style>
  <w:style w:type="paragraph" w:customStyle="1" w:styleId="159">
    <w:name w:val="样式 129 10 磅"/>
    <w:pPr>
      <w:widowControl w:val="0"/>
      <w:jc w:val="both"/>
    </w:pPr>
    <w:rPr>
      <w:rFonts w:ascii="Calibri" w:eastAsia="宋体" w:cs="Calibri" w:hAnsi="Calibri"/>
      <w:kern w:val="2"/>
      <w:sz w:val="21"/>
      <w:szCs w:val="21"/>
      <w:lang w:val="en-US" w:eastAsia="zh-CN" w:bidi="ar-SA"/>
    </w:rPr>
  </w:style>
  <w:style w:type="paragraph" w:customStyle="1" w:styleId="160">
    <w:name w:val="样式 130 10 磅"/>
    <w:pPr>
      <w:widowControl w:val="0"/>
      <w:jc w:val="both"/>
    </w:pPr>
    <w:rPr>
      <w:rFonts w:ascii="Calibri" w:eastAsia="宋体" w:cs="Calibri" w:hAnsi="Calibri"/>
      <w:kern w:val="2"/>
      <w:sz w:val="21"/>
      <w:szCs w:val="21"/>
      <w:lang w:val="en-US" w:eastAsia="zh-CN" w:bidi="ar-SA"/>
    </w:rPr>
  </w:style>
  <w:style w:type="paragraph" w:customStyle="1" w:styleId="161">
    <w:name w:val="样式 131 10 磅"/>
    <w:pPr>
      <w:widowControl w:val="0"/>
      <w:jc w:val="both"/>
    </w:pPr>
    <w:rPr>
      <w:rFonts w:ascii="Calibri" w:eastAsia="宋体" w:cs="Calibri" w:hAnsi="Calibri"/>
      <w:kern w:val="2"/>
      <w:sz w:val="21"/>
      <w:szCs w:val="21"/>
      <w:lang w:val="en-US" w:eastAsia="zh-CN" w:bidi="ar-SA"/>
    </w:rPr>
  </w:style>
  <w:style w:type="paragraph" w:customStyle="1" w:styleId="162">
    <w:name w:val="样式 132 10 磅"/>
    <w:pPr>
      <w:widowControl w:val="0"/>
      <w:jc w:val="both"/>
    </w:pPr>
    <w:rPr>
      <w:rFonts w:ascii="Calibri" w:eastAsia="宋体" w:cs="Calibri" w:hAnsi="Calibri"/>
      <w:kern w:val="2"/>
      <w:sz w:val="21"/>
      <w:szCs w:val="21"/>
      <w:lang w:val="en-US" w:eastAsia="zh-CN" w:bidi="ar-SA"/>
    </w:rPr>
  </w:style>
  <w:style w:type="paragraph" w:customStyle="1" w:styleId="163">
    <w:name w:val="样式 133 10 磅"/>
    <w:pPr>
      <w:widowControl w:val="0"/>
      <w:jc w:val="both"/>
    </w:pPr>
    <w:rPr>
      <w:rFonts w:ascii="Calibri" w:eastAsia="宋体" w:cs="Calibri" w:hAnsi="Calibri"/>
      <w:kern w:val="2"/>
      <w:sz w:val="21"/>
      <w:szCs w:val="21"/>
      <w:lang w:val="en-US" w:eastAsia="zh-CN" w:bidi="ar-SA"/>
    </w:rPr>
  </w:style>
  <w:style w:type="paragraph" w:customStyle="1" w:styleId="164">
    <w:name w:val="样式 134 10 磅"/>
    <w:pPr>
      <w:widowControl w:val="0"/>
      <w:jc w:val="both"/>
    </w:pPr>
    <w:rPr>
      <w:rFonts w:ascii="Calibri" w:eastAsia="宋体" w:cs="Calibri" w:hAnsi="Calibri"/>
      <w:kern w:val="2"/>
      <w:sz w:val="21"/>
      <w:szCs w:val="21"/>
      <w:lang w:val="en-US" w:eastAsia="zh-CN" w:bidi="ar-SA"/>
    </w:rPr>
  </w:style>
  <w:style w:type="paragraph" w:customStyle="1" w:styleId="165">
    <w:name w:val="样式 135 10 磅"/>
    <w:pPr>
      <w:widowControl w:val="0"/>
      <w:jc w:val="both"/>
    </w:pPr>
    <w:rPr>
      <w:rFonts w:ascii="Calibri" w:eastAsia="宋体" w:cs="Calibri" w:hAnsi="Calibri"/>
      <w:kern w:val="2"/>
      <w:sz w:val="21"/>
      <w:szCs w:val="21"/>
      <w:lang w:val="en-US" w:eastAsia="zh-CN" w:bidi="ar-SA"/>
    </w:rPr>
  </w:style>
  <w:style w:type="paragraph" w:customStyle="1" w:styleId="166">
    <w:name w:val="样式 136 10 磅"/>
    <w:pPr>
      <w:widowControl w:val="0"/>
      <w:jc w:val="both"/>
    </w:pPr>
    <w:rPr>
      <w:rFonts w:ascii="Calibri" w:eastAsia="宋体" w:cs="Calibri" w:hAnsi="Calibri"/>
      <w:kern w:val="2"/>
      <w:sz w:val="21"/>
      <w:szCs w:val="21"/>
      <w:lang w:val="en-US" w:eastAsia="zh-CN" w:bidi="ar-SA"/>
    </w:rPr>
  </w:style>
  <w:style w:type="paragraph" w:customStyle="1" w:styleId="167">
    <w:name w:val="样式 137 10 磅"/>
    <w:pPr>
      <w:widowControl w:val="0"/>
      <w:jc w:val="both"/>
    </w:pPr>
    <w:rPr>
      <w:rFonts w:ascii="Calibri" w:eastAsia="宋体" w:cs="Calibri" w:hAnsi="Calibri"/>
      <w:kern w:val="2"/>
      <w:sz w:val="21"/>
      <w:szCs w:val="21"/>
      <w:lang w:val="en-US" w:eastAsia="zh-CN" w:bidi="ar-SA"/>
    </w:rPr>
  </w:style>
  <w:style w:type="paragraph" w:customStyle="1" w:styleId="168">
    <w:name w:val="样式 138 10 磅"/>
    <w:pPr>
      <w:widowControl w:val="0"/>
      <w:jc w:val="both"/>
    </w:pPr>
    <w:rPr>
      <w:rFonts w:ascii="Calibri" w:eastAsia="宋体" w:cs="Calibri" w:hAnsi="Calibri"/>
      <w:kern w:val="2"/>
      <w:sz w:val="21"/>
      <w:szCs w:val="21"/>
      <w:lang w:val="en-US" w:eastAsia="zh-CN" w:bidi="ar-SA"/>
    </w:rPr>
  </w:style>
  <w:style w:type="paragraph" w:customStyle="1" w:styleId="169">
    <w:name w:val="样式 139 10 磅"/>
    <w:pPr>
      <w:widowControl w:val="0"/>
      <w:jc w:val="both"/>
    </w:pPr>
    <w:rPr>
      <w:rFonts w:ascii="Calibri" w:eastAsia="宋体" w:cs="Calibri" w:hAnsi="Calibri"/>
      <w:kern w:val="2"/>
      <w:sz w:val="21"/>
      <w:szCs w:val="21"/>
      <w:lang w:val="en-US" w:eastAsia="zh-CN" w:bidi="ar-SA"/>
    </w:rPr>
  </w:style>
  <w:style w:type="paragraph" w:customStyle="1" w:styleId="170">
    <w:name w:val="样式 140 10 磅"/>
    <w:pPr>
      <w:widowControl w:val="0"/>
      <w:jc w:val="both"/>
    </w:pPr>
    <w:rPr>
      <w:rFonts w:ascii="Calibri" w:eastAsia="宋体" w:cs="Calibri" w:hAnsi="Calibri"/>
      <w:kern w:val="2"/>
      <w:sz w:val="21"/>
      <w:szCs w:val="21"/>
      <w:lang w:val="en-US" w:eastAsia="zh-CN" w:bidi="ar-SA"/>
    </w:rPr>
  </w:style>
  <w:style w:type="paragraph" w:customStyle="1" w:styleId="171">
    <w:name w:val="样式 141 10 磅"/>
    <w:pPr>
      <w:widowControl w:val="0"/>
      <w:jc w:val="both"/>
    </w:pPr>
    <w:rPr>
      <w:rFonts w:ascii="Calibri" w:eastAsia="宋体" w:cs="Calibri" w:hAnsi="Calibri"/>
      <w:kern w:val="2"/>
      <w:sz w:val="21"/>
      <w:szCs w:val="21"/>
      <w:lang w:val="en-US" w:eastAsia="zh-CN" w:bidi="ar-SA"/>
    </w:rPr>
  </w:style>
  <w:style w:type="paragraph" w:customStyle="1" w:styleId="172">
    <w:name w:val="样式 142 10 磅"/>
    <w:pPr>
      <w:widowControl w:val="0"/>
      <w:jc w:val="both"/>
    </w:pPr>
    <w:rPr>
      <w:rFonts w:ascii="Calibri" w:eastAsia="宋体" w:cs="Calibri" w:hAnsi="Calibri"/>
      <w:kern w:val="2"/>
      <w:sz w:val="21"/>
      <w:szCs w:val="21"/>
      <w:lang w:val="en-US" w:eastAsia="zh-CN" w:bidi="ar-SA"/>
    </w:rPr>
  </w:style>
  <w:style w:type="paragraph" w:customStyle="1" w:styleId="173">
    <w:name w:val="样式 143 10 磅"/>
    <w:pPr>
      <w:widowControl w:val="0"/>
      <w:jc w:val="both"/>
    </w:pPr>
    <w:rPr>
      <w:rFonts w:ascii="Calibri" w:eastAsia="宋体" w:cs="Calibri" w:hAnsi="Calibri"/>
      <w:kern w:val="2"/>
      <w:sz w:val="21"/>
      <w:szCs w:val="21"/>
      <w:lang w:val="en-US" w:eastAsia="zh-CN" w:bidi="ar-SA"/>
    </w:rPr>
  </w:style>
  <w:style w:type="paragraph" w:customStyle="1" w:styleId="174">
    <w:name w:val="样式 144 10 磅"/>
    <w:pPr>
      <w:widowControl w:val="0"/>
      <w:jc w:val="both"/>
    </w:pPr>
    <w:rPr>
      <w:rFonts w:ascii="Calibri" w:eastAsia="宋体" w:cs="Calibri" w:hAnsi="Calibri"/>
      <w:kern w:val="2"/>
      <w:sz w:val="21"/>
      <w:szCs w:val="21"/>
      <w:lang w:val="en-US" w:eastAsia="zh-CN" w:bidi="ar-SA"/>
    </w:rPr>
  </w:style>
  <w:style w:type="paragraph" w:customStyle="1" w:styleId="175">
    <w:name w:val="样式 145 10 磅"/>
    <w:pPr>
      <w:widowControl w:val="0"/>
      <w:jc w:val="both"/>
    </w:pPr>
    <w:rPr>
      <w:rFonts w:ascii="Calibri" w:eastAsia="宋体" w:cs="Calibri" w:hAnsi="Calibri"/>
      <w:kern w:val="2"/>
      <w:sz w:val="21"/>
      <w:szCs w:val="21"/>
      <w:lang w:val="en-US" w:eastAsia="zh-CN" w:bidi="ar-SA"/>
    </w:rPr>
  </w:style>
  <w:style w:type="paragraph" w:customStyle="1" w:styleId="176">
    <w:name w:val="样式 146 10 磅"/>
    <w:pPr>
      <w:widowControl w:val="0"/>
      <w:jc w:val="both"/>
    </w:pPr>
    <w:rPr>
      <w:rFonts w:ascii="Calibri" w:eastAsia="宋体" w:cs="Calibri" w:hAnsi="Calibri"/>
      <w:kern w:val="2"/>
      <w:sz w:val="21"/>
      <w:szCs w:val="21"/>
      <w:lang w:val="en-US" w:eastAsia="zh-CN" w:bidi="ar-SA"/>
    </w:rPr>
  </w:style>
  <w:style w:type="paragraph" w:customStyle="1" w:styleId="177">
    <w:name w:val="样式 147 10 磅"/>
    <w:pPr>
      <w:widowControl w:val="0"/>
      <w:jc w:val="both"/>
    </w:pPr>
    <w:rPr>
      <w:rFonts w:ascii="Calibri" w:eastAsia="宋体" w:cs="Calibri" w:hAnsi="Calibri"/>
      <w:kern w:val="2"/>
      <w:sz w:val="21"/>
      <w:szCs w:val="21"/>
      <w:lang w:val="en-US" w:eastAsia="zh-CN" w:bidi="ar-SA"/>
    </w:rPr>
  </w:style>
  <w:style w:type="paragraph" w:customStyle="1" w:styleId="178">
    <w:name w:val="样式 148 10 磅"/>
    <w:pPr>
      <w:widowControl w:val="0"/>
      <w:jc w:val="both"/>
    </w:pPr>
    <w:rPr>
      <w:rFonts w:ascii="Calibri" w:eastAsia="宋体" w:cs="Calibri" w:hAnsi="Calibri"/>
      <w:kern w:val="2"/>
      <w:sz w:val="21"/>
      <w:szCs w:val="21"/>
      <w:lang w:val="en-US" w:eastAsia="zh-CN" w:bidi="ar-SA"/>
    </w:rPr>
  </w:style>
  <w:style w:type="paragraph" w:customStyle="1" w:styleId="179">
    <w:name w:val="样式 149 10 磅"/>
    <w:pPr>
      <w:widowControl w:val="0"/>
      <w:jc w:val="both"/>
    </w:pPr>
    <w:rPr>
      <w:rFonts w:ascii="Calibri" w:eastAsia="宋体" w:cs="Calibri" w:hAnsi="Calibri"/>
      <w:kern w:val="2"/>
      <w:sz w:val="21"/>
      <w:szCs w:val="21"/>
      <w:lang w:val="en-US" w:eastAsia="zh-CN" w:bidi="ar-SA"/>
    </w:rPr>
  </w:style>
  <w:style w:type="paragraph" w:customStyle="1" w:styleId="180">
    <w:name w:val="样式 150 10 磅"/>
    <w:pPr>
      <w:widowControl w:val="0"/>
      <w:jc w:val="both"/>
    </w:pPr>
    <w:rPr>
      <w:rFonts w:ascii="Calibri" w:eastAsia="宋体" w:cs="Calibri" w:hAnsi="Calibri"/>
      <w:kern w:val="2"/>
      <w:sz w:val="21"/>
      <w:szCs w:val="21"/>
      <w:lang w:val="en-US" w:eastAsia="zh-CN" w:bidi="ar-SA"/>
    </w:rPr>
  </w:style>
  <w:style w:type="paragraph" w:customStyle="1" w:styleId="181">
    <w:name w:val="样式 151 10 磅"/>
    <w:pPr>
      <w:widowControl w:val="0"/>
      <w:jc w:val="both"/>
    </w:pPr>
    <w:rPr>
      <w:rFonts w:ascii="Calibri" w:eastAsia="宋体" w:cs="Calibri" w:hAnsi="Calibri"/>
      <w:kern w:val="2"/>
      <w:sz w:val="21"/>
      <w:szCs w:val="21"/>
      <w:lang w:val="en-US" w:eastAsia="zh-CN" w:bidi="ar-SA"/>
    </w:rPr>
  </w:style>
  <w:style w:type="paragraph" w:customStyle="1" w:styleId="182">
    <w:name w:val="样式 152 10 磅"/>
    <w:pPr>
      <w:widowControl w:val="0"/>
      <w:jc w:val="both"/>
    </w:pPr>
    <w:rPr>
      <w:rFonts w:ascii="Calibri" w:eastAsia="宋体" w:cs="Calibri" w:hAnsi="Calibri"/>
      <w:kern w:val="2"/>
      <w:sz w:val="21"/>
      <w:szCs w:val="21"/>
      <w:lang w:val="en-US" w:eastAsia="zh-CN" w:bidi="ar-SA"/>
    </w:rPr>
  </w:style>
  <w:style w:type="paragraph" w:customStyle="1" w:styleId="183">
    <w:name w:val="样式 153 10 磅"/>
    <w:pPr>
      <w:widowControl w:val="0"/>
      <w:jc w:val="both"/>
    </w:pPr>
    <w:rPr>
      <w:rFonts w:ascii="Calibri" w:eastAsia="宋体" w:cs="Calibri" w:hAnsi="Calibri"/>
      <w:kern w:val="2"/>
      <w:sz w:val="21"/>
      <w:szCs w:val="21"/>
      <w:lang w:val="en-US" w:eastAsia="zh-CN" w:bidi="ar-SA"/>
    </w:rPr>
  </w:style>
  <w:style w:type="paragraph" w:customStyle="1" w:styleId="184">
    <w:name w:val="样式 154 10 磅"/>
    <w:pPr>
      <w:widowControl w:val="0"/>
      <w:jc w:val="both"/>
    </w:pPr>
    <w:rPr>
      <w:rFonts w:ascii="Calibri" w:eastAsia="宋体" w:cs="Calibri" w:hAnsi="Calibri"/>
      <w:kern w:val="2"/>
      <w:sz w:val="21"/>
      <w:szCs w:val="21"/>
      <w:lang w:val="en-US" w:eastAsia="zh-CN" w:bidi="ar-SA"/>
    </w:rPr>
  </w:style>
  <w:style w:type="paragraph" w:customStyle="1" w:styleId="185">
    <w:name w:val="样式 155 10 磅"/>
    <w:pPr>
      <w:widowControl w:val="0"/>
      <w:jc w:val="both"/>
    </w:pPr>
    <w:rPr>
      <w:rFonts w:ascii="Calibri" w:eastAsia="宋体" w:cs="Calibri" w:hAnsi="Calibri"/>
      <w:kern w:val="2"/>
      <w:sz w:val="21"/>
      <w:szCs w:val="21"/>
      <w:lang w:val="en-US" w:eastAsia="zh-CN" w:bidi="ar-SA"/>
    </w:rPr>
  </w:style>
  <w:style w:type="paragraph" w:customStyle="1" w:styleId="186">
    <w:name w:val="样式 156 10 磅"/>
    <w:pPr>
      <w:widowControl w:val="0"/>
      <w:jc w:val="both"/>
    </w:pPr>
    <w:rPr>
      <w:rFonts w:ascii="Calibri" w:eastAsia="宋体" w:cs="Calibri" w:hAnsi="Calibri"/>
      <w:kern w:val="2"/>
      <w:sz w:val="21"/>
      <w:szCs w:val="21"/>
      <w:lang w:val="en-US" w:eastAsia="zh-CN" w:bidi="ar-SA"/>
    </w:rPr>
  </w:style>
  <w:style w:type="paragraph" w:customStyle="1" w:styleId="187">
    <w:name w:val="样式 157 10 磅"/>
    <w:pPr>
      <w:widowControl w:val="0"/>
      <w:jc w:val="both"/>
    </w:pPr>
    <w:rPr>
      <w:rFonts w:ascii="Calibri" w:eastAsia="宋体" w:cs="Calibri" w:hAnsi="Calibri"/>
      <w:kern w:val="2"/>
      <w:sz w:val="21"/>
      <w:szCs w:val="21"/>
      <w:lang w:val="en-US" w:eastAsia="zh-CN" w:bidi="ar-SA"/>
    </w:rPr>
  </w:style>
  <w:style w:type="paragraph" w:customStyle="1" w:styleId="188">
    <w:name w:val="样式 158 10 磅"/>
    <w:pPr>
      <w:widowControl w:val="0"/>
      <w:jc w:val="both"/>
    </w:pPr>
    <w:rPr>
      <w:rFonts w:ascii="Calibri" w:eastAsia="宋体" w:cs="Calibri" w:hAnsi="Calibri"/>
      <w:kern w:val="2"/>
      <w:sz w:val="21"/>
      <w:szCs w:val="21"/>
      <w:lang w:val="en-US" w:eastAsia="zh-CN" w:bidi="ar-SA"/>
    </w:rPr>
  </w:style>
  <w:style w:type="paragraph" w:customStyle="1" w:styleId="189">
    <w:name w:val="样式 159 10 磅"/>
    <w:pPr>
      <w:widowControl w:val="0"/>
      <w:jc w:val="both"/>
    </w:pPr>
    <w:rPr>
      <w:rFonts w:ascii="Calibri" w:eastAsia="宋体" w:cs="Calibri" w:hAnsi="Calibri"/>
      <w:kern w:val="2"/>
      <w:sz w:val="21"/>
      <w:szCs w:val="21"/>
      <w:lang w:val="en-US" w:eastAsia="zh-CN" w:bidi="ar-SA"/>
    </w:rPr>
  </w:style>
  <w:style w:type="paragraph" w:customStyle="1" w:styleId="190">
    <w:name w:val="样式 160 10 磅"/>
    <w:pPr>
      <w:widowControl w:val="0"/>
      <w:jc w:val="both"/>
    </w:pPr>
    <w:rPr>
      <w:rFonts w:ascii="Calibri" w:eastAsia="宋体" w:cs="Calibri" w:hAnsi="Calibri"/>
      <w:kern w:val="2"/>
      <w:sz w:val="21"/>
      <w:szCs w:val="21"/>
      <w:lang w:val="en-US" w:eastAsia="zh-CN" w:bidi="ar-SA"/>
    </w:rPr>
  </w:style>
  <w:style w:type="paragraph" w:customStyle="1" w:styleId="191">
    <w:name w:val="样式 161 10 磅"/>
    <w:pPr>
      <w:widowControl w:val="0"/>
      <w:jc w:val="both"/>
    </w:pPr>
    <w:rPr>
      <w:rFonts w:ascii="Calibri" w:eastAsia="宋体" w:cs="Calibri" w:hAnsi="Calibri"/>
      <w:kern w:val="2"/>
      <w:sz w:val="21"/>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3106</TotalTime>
  <Application>Yozo_Office</Application>
  <Pages>12</Pages>
  <Words>11153</Words>
  <Characters>12467</Characters>
  <Lines>384</Lines>
  <Paragraphs>194</Paragraphs>
  <CharactersWithSpaces>12654</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title>武汉海关关于发布境外技术性贸易措施风险信息的提示</dc:title>
  <dc:creator>曾繁</dc:creator>
  <cp:lastModifiedBy>范思齐</cp:lastModifiedBy>
  <cp:revision>5</cp:revision>
  <dcterms:created xsi:type="dcterms:W3CDTF">2024-01-26T03:30:00Z</dcterms:created>
  <dcterms:modified xsi:type="dcterms:W3CDTF">2025-12-29T09:21:51Z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2052-11.1.0.13703</vt:lpwstr>
  </property>
  <property fmtid="{D5CDD505-2E9C-101B-9397-08002B2CF9AE}" pid="3" name="ICV">
    <vt:lpwstr>CF9849E3307943108F88771BECF146AD</vt:lpwstr>
  </property>
</Properties>
</file>