
<file path=[Content_Types].xml><?xml version="1.0" encoding="utf-8"?>
<Types xmlns="http://schemas.openxmlformats.org/package/2006/content-types">
  <Default Extension="rels" ContentType="application/vnd.openxmlformats-package.relationships+xml"/>
  <Default Extension="xml" ContentType="application/xml"/>
  <Override PartName="/word/settings.xml" ContentType="application/vnd.openxmlformats-officedocument.wordprocessingml.setting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a14="http://schemas.microsoft.com/office/drawing/2010/main" mc:Ignorable="w14">
  <w:body>
    <w:p>
      <w:pPr>
        <w:autoSpaceDN w:val="0"/>
        <w:adjustRightInd w:val="0"/>
        <w:snapToGrid w:val="0"/>
        <w:spacing w:line="560" w:lineRule="exact"/>
        <w:ind w:firstLine="420"/>
        <w:jc w:val="center"/>
        <w:rPr>
          <w:rFonts w:ascii="方正小标宋_GBK" w:eastAsia="方正小标宋_GBK" w:cs="Times New Roman"/>
          <w:sz w:val="44"/>
          <w:szCs w:val="44"/>
        </w:rPr>
      </w:pPr>
      <w:r>
        <w:rPr>
          <w:rFonts w:ascii="方正小标宋_GBK" w:eastAsia="方正小标宋_GBK" w:cs="方正小标宋_GBK" w:hint="eastAsia"/>
          <w:sz w:val="44"/>
          <w:szCs w:val="44"/>
        </w:rPr>
        <w:t>武汉海关关于发布境外技术性贸易措施风险信息的提示</w:t>
      </w:r>
    </w:p>
    <w:p>
      <w:pPr>
        <w:autoSpaceDN w:val="0"/>
        <w:adjustRightInd w:val="0"/>
        <w:snapToGrid w:val="0"/>
        <w:spacing w:line="560" w:lineRule="exact"/>
        <w:jc w:val="center"/>
        <w:rPr>
          <w:rFonts w:ascii="方正楷体_GBK" w:eastAsia="方正楷体_GBK" w:cs="Times New Roman"/>
          <w:sz w:val="32"/>
          <w:szCs w:val="32"/>
        </w:rPr>
      </w:pPr>
      <w:r>
        <w:rPr>
          <w:rFonts w:ascii="方正楷体_GBK" w:eastAsia="方正楷体_GBK" w:cs="方正楷体_GBK" w:hint="eastAsia"/>
          <w:sz w:val="32"/>
          <w:szCs w:val="32"/>
        </w:rPr>
        <w:t>（</w:t>
      </w:r>
      <w:r>
        <w:rPr>
          <w:rFonts w:ascii="方正楷体_GBK" w:eastAsia="方正楷体_GBK" w:cs="方正楷体_GBK"/>
          <w:sz w:val="32"/>
          <w:szCs w:val="32"/>
        </w:rPr>
        <w:t>202601</w:t>
      </w:r>
      <w:r>
        <w:rPr>
          <w:rFonts w:ascii="方正楷体_GBK" w:eastAsia="方正楷体_GBK" w:cs="方正楷体_GBK" w:hint="eastAsia"/>
          <w:sz w:val="32"/>
          <w:szCs w:val="32"/>
        </w:rPr>
        <w:t>期总第</w:t>
      </w:r>
      <w:r>
        <w:rPr>
          <w:rFonts w:ascii="方正楷体_GBK" w:eastAsia="方正楷体_GBK" w:cs="方正楷体_GBK"/>
          <w:sz w:val="32"/>
          <w:szCs w:val="32"/>
        </w:rPr>
        <w:t>68</w:t>
      </w:r>
      <w:r>
        <w:rPr>
          <w:rFonts w:ascii="方正楷体_GBK" w:eastAsia="方正楷体_GBK" w:cs="方正楷体_GBK" w:hint="eastAsia"/>
          <w:sz w:val="32"/>
          <w:szCs w:val="32"/>
        </w:rPr>
        <w:t>期）</w:t>
      </w:r>
    </w:p>
    <w:p>
      <w:pPr>
        <w:autoSpaceDN w:val="0"/>
        <w:adjustRightInd w:val="0"/>
        <w:snapToGrid w:val="0"/>
        <w:spacing w:line="560" w:lineRule="exact"/>
        <w:ind w:firstLineChars="200" w:firstLine="640"/>
        <w:rPr>
          <w:rFonts w:ascii="方正仿宋_GBK" w:eastAsia="方正仿宋_GBK" w:cs="Times New Roman"/>
          <w:sz w:val="32"/>
          <w:szCs w:val="32"/>
        </w:rPr>
      </w:pPr>
      <w:r>
        <w:rPr>
          <w:rFonts w:ascii="方正仿宋_GBK" w:eastAsia="方正仿宋_GBK" w:cs="方正仿宋_GBK" w:hint="eastAsia"/>
          <w:sz w:val="32"/>
          <w:szCs w:val="32"/>
        </w:rPr>
        <w:t>当前我国面临复杂严峻的外贸形势，国外技术性贸易措施依然是影响我国企业出口的重要因素之一。为进一步降低技术性贸易措施对湖北出口企业可能造成的影响，推动湖北产品更好“走出去”，提高贸易便利化水平，助力企业开拓海外市场，武汉海关收集整理了近期部分境外技术性贸易措施，供外贸企业参考。现将收集的相关信息公布提示如下：</w:t>
      </w:r>
    </w:p>
    <w:tbl>
      <w:tblPr>
        <w:jc w:val="left"/>
        <w:tblW w:w="141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108" w:type="dxa"/>
          <w:bottom w:w="0" w:type="dxa"/>
          <w:right w:w="108" w:type="dxa"/>
        </w:tblCellMar>
      </w:tblPr>
      <w:tblGrid>
        <w:gridCol w:w="1383"/>
        <w:gridCol w:w="659"/>
        <w:gridCol w:w="12131"/>
      </w:tblGrid>
      <w:tr>
        <w:trPr>
          <w:trHeight w:val="593"/>
        </w:trPr>
        <w:tc>
          <w:tcPr>
            <w:tcW w:w="1383" w:type="dxa"/>
          </w:tcPr>
          <w:p>
            <w:pPr>
              <w:autoSpaceDN w:val="0"/>
              <w:jc w:val="center"/>
              <w:rPr>
                <w:rFonts w:ascii="Times New Roman" w:cs="Times New Roman" w:hAnsi="Times New Roman"/>
                <w:b/>
                <w:bCs/>
              </w:rPr>
            </w:pPr>
            <w:r>
              <w:rPr>
                <w:rFonts w:ascii="Times New Roman" w:cs="Times New Roman" w:hAnsi="Times New Roman"/>
                <w:b/>
                <w:bCs/>
              </w:rPr>
              <w:t>国家</w:t>
            </w:r>
          </w:p>
          <w:p>
            <w:pPr>
              <w:autoSpaceDN w:val="0"/>
              <w:jc w:val="center"/>
              <w:rPr>
                <w:rFonts w:ascii="Times New Roman" w:cs="Times New Roman" w:hAnsi="Times New Roman"/>
                <w:b/>
                <w:bCs/>
              </w:rPr>
            </w:pPr>
            <w:r>
              <w:rPr>
                <w:rFonts w:ascii="Times New Roman" w:cs="Times New Roman" w:hAnsi="Times New Roman"/>
                <w:b/>
                <w:bCs/>
              </w:rPr>
              <w:t>（地区组织）</w:t>
            </w:r>
          </w:p>
        </w:tc>
        <w:tc>
          <w:tcPr>
            <w:tcW w:w="659" w:type="dxa"/>
            <w:vAlign w:val="center"/>
          </w:tcPr>
          <w:p>
            <w:pPr>
              <w:autoSpaceDN w:val="0"/>
              <w:jc w:val="center"/>
              <w:rPr>
                <w:rFonts w:ascii="Times New Roman" w:cs="Times New Roman" w:hAnsi="Times New Roman"/>
              </w:rPr>
            </w:pPr>
            <w:r>
              <w:rPr>
                <w:rFonts w:ascii="Times New Roman" w:cs="Times New Roman" w:hAnsi="Times New Roman"/>
                <w:b/>
                <w:bCs/>
              </w:rPr>
              <w:t>序号</w:t>
            </w:r>
          </w:p>
        </w:tc>
        <w:tc>
          <w:tcPr>
            <w:tcW w:w="12131" w:type="dxa"/>
          </w:tcPr>
          <w:p>
            <w:pPr>
              <w:autoSpaceDN w:val="0"/>
              <w:jc w:val="center"/>
              <w:rPr>
                <w:rFonts w:ascii="Times New Roman" w:cs="Times New Roman" w:hAnsi="Times New Roman"/>
              </w:rPr>
            </w:pPr>
            <w:r>
              <w:rPr>
                <w:rFonts w:ascii="Times New Roman" w:cs="Times New Roman" w:hAnsi="Times New Roman"/>
                <w:b/>
                <w:bCs/>
                <w:sz w:val="28"/>
                <w:szCs w:val="28"/>
              </w:rPr>
              <w:t>提示信息</w:t>
            </w:r>
          </w:p>
        </w:tc>
      </w:tr>
      <w:tr>
        <w:trPr>
          <w:trHeight w:val="1708"/>
        </w:trPr>
        <w:tc>
          <w:tcPr>
            <w:tcW w:w="1383" w:type="dxa"/>
            <w:vMerge w:val="restart"/>
            <w:vAlign w:val="center"/>
          </w:tcPr>
          <w:p>
            <w:pPr>
              <w:pStyle w:val="84"/>
              <w:widowControl/>
              <w:jc w:val="center"/>
              <w:textAlignment w:val="center"/>
              <w:rPr>
                <w:rFonts w:ascii="Times New Roman" w:cs="Times New Roman" w:hAnsi="Times New Roman"/>
                <w:color w:val="000000"/>
                <w:sz w:val="24"/>
                <w:szCs w:val="24"/>
              </w:rPr>
            </w:pPr>
            <w:r>
              <w:rPr>
                <w:rFonts w:ascii="Times New Roman" w:cs="Times New Roman" w:hAnsi="Times New Roman"/>
                <w:color w:val="000000"/>
                <w:sz w:val="24"/>
                <w:szCs w:val="24"/>
              </w:rPr>
              <w:t>美国</w:t>
            </w:r>
          </w:p>
        </w:tc>
        <w:tc>
          <w:tcPr>
            <w:tcW w:w="659" w:type="dxa"/>
            <w:tcBorders>
              <w:top w:val="single" w:sz="4" w:space="0" w:color="000000"/>
              <w:left w:val="single" w:sz="4" w:space="0" w:color="000000"/>
              <w:right w:val="single" w:sz="4" w:space="0" w:color="000000"/>
            </w:tcBorders>
            <w:vAlign w:val="center"/>
          </w:tcPr>
          <w:p>
            <w:pPr>
              <w:jc w:val="center"/>
              <w:rPr>
                <w:rFonts w:ascii="Times New Roman" w:cs="Times New Roman" w:hAnsi="Times New Roman"/>
                <w:color w:val="000000"/>
                <w:sz w:val="22"/>
                <w:szCs w:val="22"/>
              </w:rPr>
            </w:pPr>
            <w:r>
              <w:rPr>
                <w:rFonts w:ascii="Times New Roman" w:cs="Times New Roman" w:hAnsi="Times New Roman"/>
                <w:color w:val="000000"/>
                <w:sz w:val="22"/>
                <w:szCs w:val="22"/>
              </w:rPr>
              <w:t>1</w:t>
            </w:r>
          </w:p>
        </w:tc>
        <w:tc>
          <w:tcPr>
            <w:tcW w:w="12131" w:type="dxa"/>
            <w:vAlign w:val="center"/>
          </w:tcPr>
          <w:p>
            <w:pPr>
              <w:jc w:val="left"/>
              <w:rPr>
                <w:rFonts w:ascii="宋体" w:cs="宋体" w:hint="eastAsia"/>
                <w:sz w:val="22"/>
              </w:rPr>
            </w:pPr>
            <w:r>
              <w:rPr>
                <w:rFonts w:ascii="宋体" w:cs="宋体" w:hint="eastAsia"/>
                <w:sz w:val="22"/>
              </w:rPr>
              <w:t>通过设备授权计划保护通信供应链免受国家安全威胁</w:t>
            </w:r>
            <w:r>
              <w:rPr>
                <w:rFonts w:ascii="宋体" w:cs="宋体"/>
                <w:sz w:val="22"/>
              </w:rPr>
              <w:t>。</w:t>
            </w:r>
            <w:r>
              <w:rPr>
                <w:rFonts w:ascii="宋体" w:cs="宋体" w:hint="eastAsia"/>
                <w:sz w:val="22"/>
              </w:rPr>
              <w:t xml:space="preserve">联邦通信委员会旨在进一步加强其行动，加强对授权所涵盖设备的禁令，并澄清此类规则和执行。委员会寻求对与所涵盖设备相关的模块化发射机和零部件进行额外的评议。委员会在其2022年11月的EA安全报告和命令中解决了该决定的部分法院发回重审问题，提出了所涵盖清单中使用的“关键基础设施”的定义，并寻求就该定义的实施举行评议。委员会还就所涵盖清单上确定的实体对授权设备的任何修改是否需要新的认证申请寻求评议。最后，委员会就澄清构成设备营销的活动范围和加强营销禁令执行的措施寻求评议。 </w:t>
            </w:r>
          </w:p>
        </w:tc>
      </w:tr>
      <w:tr>
        <w:trPr>
          <w:trHeight w:val="1575"/>
        </w:trPr>
        <w:tc>
          <w:tcPr>
            <w:tcW w:w="1383" w:type="dxa"/>
            <w:vMerge/>
            <w:vAlign w:val="center"/>
          </w:tcPr>
          <w:p/>
        </w:tc>
        <w:tc>
          <w:tcPr>
            <w:tcW w:w="659" w:type="dxa"/>
            <w:tcBorders>
              <w:top w:val="single" w:sz="4" w:space="0" w:color="000000"/>
              <w:left w:val="single" w:sz="4" w:space="0" w:color="000000"/>
              <w:right w:val="single" w:sz="4" w:space="0" w:color="000000"/>
            </w:tcBorders>
            <w:vAlign w:val="center"/>
          </w:tcPr>
          <w:p>
            <w:pPr>
              <w:jc w:val="center"/>
              <w:rPr>
                <w:rFonts w:ascii="Times New Roman" w:cs="Times New Roman" w:hAnsi="Times New Roman"/>
                <w:color w:val="000000"/>
                <w:sz w:val="22"/>
                <w:szCs w:val="22"/>
              </w:rPr>
            </w:pPr>
            <w:r>
              <w:rPr>
                <w:rFonts w:ascii="Times New Roman" w:cs="Times New Roman" w:hAnsi="Times New Roman"/>
                <w:color w:val="000000"/>
                <w:sz w:val="22"/>
                <w:szCs w:val="22"/>
              </w:rPr>
              <w:t>2</w:t>
            </w:r>
          </w:p>
        </w:tc>
        <w:tc>
          <w:tcPr>
            <w:tcW w:w="12131" w:type="dxa"/>
            <w:vAlign w:val="center"/>
          </w:tcPr>
          <w:p>
            <w:pPr>
              <w:jc w:val="left"/>
              <w:rPr>
                <w:rFonts w:ascii="宋体" w:cs="宋体" w:hint="eastAsia"/>
                <w:sz w:val="22"/>
              </w:rPr>
            </w:pPr>
            <w:r>
              <w:rPr>
                <w:rFonts w:ascii="宋体" w:cs="宋体" w:hint="eastAsia"/>
                <w:sz w:val="22"/>
              </w:rPr>
              <w:t>适用于2022年至2031年款乘用车和轻型卡车的更安全、经济、节能车辆规则III</w:t>
            </w:r>
            <w:r>
              <w:rPr>
                <w:rFonts w:ascii="宋体" w:cs="宋体"/>
                <w:sz w:val="22"/>
              </w:rPr>
              <w:t>。</w:t>
            </w:r>
            <w:r>
              <w:rPr>
                <w:rFonts w:ascii="宋体" w:cs="宋体" w:hint="eastAsia"/>
                <w:sz w:val="22"/>
              </w:rPr>
              <w:t>美国国家公路交通安全管理局（NHTSA）代表交通部（DOT）提议大幅重新调整企业平均燃油经济性计划，以使该计划与国会意图重新一致。此次重新校准包括提议修改DOT 2022-2026年和2027-2031年车型年轻型车辆燃油经济性标准。根据法定要求，本规则中提出的燃油经济性标准基于由汽油和柴油燃料驱动的轻型车辆，这一类别包括非插电式混合动力车辆。在制定拟议标准时，NHTSA没有根据法律考虑电池驱动电动汽车(EV)的估算燃油经济性性能或使用插电式混合动力系统的车辆的电动操作，也没有考虑合规信用或调整对两循环燃油经济性测试程序以考虑空调和非循环技术。NHTSA还提议从2028年开始取消制造商间信用交易系统，并修改轻型车队分类系统，根据车辆的属性和能力将车辆适当分配到乘用车和非乘用车车队。消除非法考虑，加上几项拟议的变化，将显</w:t>
            </w:r>
            <w:r>
              <w:rPr>
                <w:rFonts w:ascii="宋体" w:cs="宋体"/>
                <w:sz w:val="22"/>
              </w:rPr>
              <w:t>著</w:t>
            </w:r>
            <w:bookmarkStart w:id="0" w:name="_GoBack"/>
            <w:bookmarkEnd w:id="0"/>
            <w:r>
              <w:rPr>
                <w:rFonts w:ascii="宋体" w:cs="宋体" w:hint="eastAsia"/>
                <w:sz w:val="22"/>
              </w:rPr>
              <w:t>提高制造商满足燃油经济性标准的能力，更好地使该计划与国会意图保持一致，并减少制造商设计车辆和添加美国消费者不想要的功能的动机，这些功能在现实世界中的燃油经济性效益值得怀疑。因此，NHTSA提议制定燃油经济性标准，从新提出的2022年标准到2026年每年提高0.5%，然后到2031年每年提高0.25%，并将2027年的严格性作为这两个标准之间的桥梁。随后几年严格性的提高，加上对定义管理燃油经济性标准的函数的系数的重新评估，旨在以获得现实世界燃油经济性效益的方式建立最大可行标准，同时使行业能够适应CAFE计划的拟议实质性重新校准。NHTSA预计，修订后的标准将相当于2031年所有轻型车辆每加仑行驶约34.5英里的全行业平均水平。</w:t>
            </w:r>
          </w:p>
        </w:tc>
      </w:tr>
      <w:tr>
        <w:trPr>
          <w:trHeight w:val="2322"/>
        </w:trPr>
        <w:tc>
          <w:tcPr>
            <w:tcW w:w="1383" w:type="dxa"/>
            <w:vMerge/>
            <w:vAlign w:val="center"/>
          </w:tcPr>
          <w:p/>
        </w:tc>
        <w:tc>
          <w:tcPr>
            <w:tcW w:w="659" w:type="dxa"/>
            <w:tcBorders>
              <w:top w:val="single" w:sz="4" w:space="0" w:color="000000"/>
              <w:left w:val="single" w:sz="4" w:space="0" w:color="000000"/>
              <w:right w:val="single" w:sz="4" w:space="0" w:color="000000"/>
            </w:tcBorders>
            <w:vAlign w:val="center"/>
          </w:tcPr>
          <w:p>
            <w:pPr>
              <w:jc w:val="center"/>
              <w:rPr>
                <w:rFonts w:ascii="Times New Roman" w:cs="Times New Roman" w:hAnsi="Times New Roman"/>
                <w:color w:val="000000"/>
                <w:sz w:val="22"/>
                <w:szCs w:val="22"/>
              </w:rPr>
            </w:pPr>
            <w:r>
              <w:rPr>
                <w:rFonts w:ascii="Times New Roman" w:cs="Times New Roman" w:hAnsi="Times New Roman"/>
                <w:color w:val="000000"/>
                <w:sz w:val="22"/>
                <w:szCs w:val="22"/>
              </w:rPr>
              <w:t>3</w:t>
            </w:r>
          </w:p>
        </w:tc>
        <w:tc>
          <w:tcPr>
            <w:tcW w:w="12131" w:type="dxa"/>
            <w:vAlign w:val="center"/>
          </w:tcPr>
          <w:p>
            <w:pPr>
              <w:jc w:val="left"/>
              <w:rPr>
                <w:rFonts w:ascii="宋体" w:cs="宋体" w:hint="eastAsia"/>
                <w:sz w:val="22"/>
              </w:rPr>
            </w:pPr>
            <w:r>
              <w:rPr>
                <w:rFonts w:ascii="宋体" w:cs="宋体" w:hint="eastAsia"/>
                <w:sz w:val="22"/>
              </w:rPr>
              <w:t>促进更密集地使用上部微波频谱</w:t>
            </w:r>
            <w:r>
              <w:rPr>
                <w:rFonts w:ascii="宋体" w:cs="宋体"/>
                <w:sz w:val="22"/>
              </w:rPr>
              <w:t>。</w:t>
            </w:r>
            <w:r>
              <w:rPr>
                <w:rFonts w:ascii="宋体" w:cs="宋体" w:hint="eastAsia"/>
                <w:sz w:val="22"/>
              </w:rPr>
              <w:t xml:space="preserve">在本文件中，联邦通信委员会寻求就旨在促进24 GHz、28 GHz、37 GHz以上、39 GHz、47 GHz和50 GHz频段（统称为UMFUS频段）频谱更密集使用的各种措施进行评议。根据委员会的规则，这些频段由地面上层微波灵活使用服务（UMFUS）和固定卫星服务（FSS）共享。当委员会在2016年创建这一框架时，它假设UMFUS频段将作为地面5G网络的一部分被密集使用，该频段中的地面站部署将相对较轻，并且所采用的技术规则对于保护地面UMFUS操作是必要的，但不会过于繁重而冷却FSS地面站选址。从那时起，越来越清楚的是，这些频段是如何用于地面服务的，以及空间经济的增长是如何增加了人们对将UMFUS频段用于FSS的兴趣。鉴于这些变化，委员会规则中所载的要求已被证明是处理波段地面站申请的障碍。因此，NPRM将寻求对各种机制的投入，这些机制可能有助于更密集地使用UMFUS频带并提高许可效率。 </w:t>
            </w:r>
          </w:p>
        </w:tc>
      </w:tr>
      <w:tr>
        <w:trPr>
          <w:trHeight w:val="989"/>
        </w:trPr>
        <w:tc>
          <w:tcPr>
            <w:tcW w:w="1383" w:type="dxa"/>
            <w:vMerge/>
            <w:vAlign w:val="center"/>
          </w:tcPr>
          <w:p/>
        </w:tc>
        <w:tc>
          <w:tcPr>
            <w:tcW w:w="659" w:type="dxa"/>
            <w:tcBorders>
              <w:top w:val="single" w:sz="4" w:space="0" w:color="000000"/>
              <w:left w:val="single" w:sz="4" w:space="0" w:color="000000"/>
              <w:right w:val="single" w:sz="4" w:space="0" w:color="000000"/>
            </w:tcBorders>
            <w:vAlign w:val="center"/>
          </w:tcPr>
          <w:p>
            <w:pPr>
              <w:jc w:val="center"/>
              <w:rPr>
                <w:rFonts w:ascii="Times New Roman" w:cs="Times New Roman" w:hAnsi="Times New Roman"/>
                <w:color w:val="000000"/>
                <w:sz w:val="22"/>
                <w:szCs w:val="22"/>
              </w:rPr>
            </w:pPr>
            <w:r>
              <w:rPr>
                <w:rFonts w:ascii="Times New Roman" w:cs="Times New Roman" w:hAnsi="Times New Roman"/>
                <w:color w:val="000000"/>
                <w:sz w:val="22"/>
                <w:szCs w:val="22"/>
              </w:rPr>
              <w:t>4</w:t>
            </w:r>
          </w:p>
        </w:tc>
        <w:tc>
          <w:tcPr>
            <w:tcW w:w="12131" w:type="dxa"/>
            <w:vAlign w:val="center"/>
          </w:tcPr>
          <w:p>
            <w:pPr>
              <w:jc w:val="left"/>
              <w:rPr>
                <w:rFonts w:ascii="宋体" w:cs="宋体" w:hint="eastAsia"/>
                <w:sz w:val="22"/>
              </w:rPr>
            </w:pPr>
            <w:r>
              <w:rPr>
                <w:rFonts w:ascii="宋体" w:cs="宋体" w:hint="eastAsia"/>
                <w:sz w:val="22"/>
              </w:rPr>
              <w:t>危险材料：使法规现代化，以方便使用高度自动化的运输系统运输危险材料</w:t>
            </w:r>
            <w:r>
              <w:rPr>
                <w:rFonts w:ascii="宋体" w:cs="宋体"/>
                <w:sz w:val="22"/>
              </w:rPr>
              <w:t>。</w:t>
            </w:r>
            <w:r>
              <w:rPr>
                <w:rFonts w:ascii="宋体" w:cs="宋体" w:hint="eastAsia"/>
                <w:sz w:val="22"/>
              </w:rPr>
              <w:t>拟议规则制定的预先通知管道和危险材料安全管理局正在发布本拟议规则制定的预先通知，以获得利益相关者对危险材料法规潜在修订的意见，以促进危险材料的安全运输使用高度自动化的运输系统。</w:t>
            </w:r>
          </w:p>
        </w:tc>
      </w:tr>
      <w:tr>
        <w:trPr>
          <w:trHeight w:val="322"/>
        </w:trPr>
        <w:tc>
          <w:tcPr>
            <w:tcW w:w="1383" w:type="dxa"/>
            <w:vMerge/>
            <w:vAlign w:val="center"/>
          </w:tcPr>
          <w:p/>
        </w:tc>
        <w:tc>
          <w:tcPr>
            <w:tcW w:w="659" w:type="dxa"/>
            <w:tcBorders>
              <w:top w:val="single" w:sz="4" w:space="0" w:color="000000"/>
              <w:left w:val="single" w:sz="4" w:space="0" w:color="000000"/>
              <w:right w:val="single" w:sz="4" w:space="0" w:color="000000"/>
            </w:tcBorders>
            <w:vAlign w:val="center"/>
          </w:tcPr>
          <w:p>
            <w:pPr>
              <w:jc w:val="center"/>
              <w:rPr>
                <w:rFonts w:ascii="Times New Roman" w:cs="Times New Roman" w:hAnsi="Times New Roman"/>
                <w:color w:val="000000"/>
                <w:sz w:val="22"/>
                <w:szCs w:val="22"/>
              </w:rPr>
            </w:pPr>
            <w:r>
              <w:rPr>
                <w:rFonts w:ascii="Times New Roman" w:cs="Times New Roman" w:hAnsi="Times New Roman"/>
                <w:color w:val="000000"/>
                <w:sz w:val="22"/>
                <w:szCs w:val="22"/>
              </w:rPr>
              <w:t>5</w:t>
            </w:r>
          </w:p>
        </w:tc>
        <w:tc>
          <w:tcPr>
            <w:tcW w:w="12131" w:type="dxa"/>
            <w:vAlign w:val="center"/>
          </w:tcPr>
          <w:p>
            <w:pPr>
              <w:jc w:val="left"/>
              <w:rPr>
                <w:rFonts w:ascii="宋体" w:cs="宋体" w:hint="eastAsia"/>
                <w:sz w:val="22"/>
              </w:rPr>
            </w:pPr>
            <w:r>
              <w:rPr>
                <w:rFonts w:ascii="宋体" w:cs="宋体" w:hint="eastAsia"/>
                <w:sz w:val="22"/>
              </w:rPr>
              <w:t>在上C波段（3.98-4.2 GHz）的问题上</w:t>
            </w:r>
            <w:r>
              <w:rPr>
                <w:rFonts w:ascii="宋体" w:cs="宋体"/>
                <w:sz w:val="22"/>
              </w:rPr>
              <w:t>。</w:t>
            </w:r>
            <w:r>
              <w:rPr>
                <w:rFonts w:ascii="宋体" w:cs="宋体" w:hint="eastAsia"/>
                <w:sz w:val="22"/>
              </w:rPr>
              <w:t>在本拟议规则制定通知中，联邦通信委员会寻求就拟议规则变更进行评议，这些规则变更将通过竞标系统使3.98-4.2 GHz频段（C频段）中多达180和至少100兆赫可用于地面无线灵活使用，从而扩大3.7-4.2 GHz频段（C频段）的下一代无线服务生态系统</w:t>
            </w:r>
            <w:r>
              <w:rPr>
                <w:rFonts w:ascii="宋体" w:cs="宋体"/>
                <w:sz w:val="22"/>
              </w:rPr>
              <w:t>。</w:t>
            </w:r>
            <w:r>
              <w:rPr>
                <w:rFonts w:ascii="宋体" w:cs="宋体" w:hint="eastAsia"/>
                <w:sz w:val="22"/>
              </w:rPr>
              <w:t>NPRM就在美国本土重新配置上层C频段的选项寻求评议，范围从180兆赫到国会授权的最低100兆赫，用于地面无线使用。NPRM就现有固定卫星服务（FSS）空间站运营商可以重新利用多少上C波段频谱以及如果现有客户迁出C波段，如何实现过渡寻求评议。根据正在考虑的任何重新配置选项，NPRM的基线主张是将现有的3.7 GHz服务规则应用于任何新授权的地面无线运营。任何其他规则和要求，包括与过渡过程有关的规则和要求，都将尽可能仿照适用于较低C波段过渡的规则和要求。NPRM还就与重新利用上C频段的某些部分相关的一系列问题寻求评议，包括：4.0-4.2 GHz频段的重新分配；最终拍卖的竞争性投标程序；任何新无线服务的许可、运营和技术规则</w:t>
            </w:r>
            <w:r>
              <w:rPr>
                <w:rFonts w:ascii="宋体" w:cs="宋体"/>
                <w:sz w:val="22"/>
              </w:rPr>
              <w:t>；（</w:t>
            </w:r>
            <w:r>
              <w:rPr>
                <w:rFonts w:ascii="宋体" w:cs="宋体" w:hint="eastAsia"/>
                <w:sz w:val="22"/>
              </w:rPr>
              <w:t>4）过渡现有的FSS业务；以及促进与相邻频段无线电高度计的共存。</w:t>
            </w:r>
          </w:p>
        </w:tc>
      </w:tr>
      <w:tr>
        <w:trPr>
          <w:trHeight w:val="301"/>
        </w:trPr>
        <w:tc>
          <w:tcPr>
            <w:tcW w:w="1383" w:type="dxa"/>
            <w:tcBorders>
              <w:tl2br w:val="nil"/>
              <w:tr2bl w:val="nil"/>
            </w:tcBorders>
            <w:vAlign w:val="center"/>
          </w:tcPr>
          <w:p>
            <w:pPr>
              <w:pStyle w:val="53"/>
              <w:widowControl/>
              <w:jc w:val="center"/>
              <w:textAlignment w:val="center"/>
              <w:rPr>
                <w:rFonts w:ascii="Times New Roman" w:cs="Times New Roman" w:hAnsi="Times New Roman"/>
                <w:color w:val="000000"/>
                <w:sz w:val="24"/>
                <w:szCs w:val="24"/>
              </w:rPr>
            </w:pPr>
            <w:r>
              <w:rPr>
                <w:rFonts w:ascii="Times New Roman" w:cs="Times New Roman" w:hAnsi="Times New Roman"/>
                <w:color w:val="000000"/>
                <w:sz w:val="24"/>
                <w:szCs w:val="24"/>
              </w:rPr>
              <w:t>巴拉圭</w:t>
            </w:r>
          </w:p>
        </w:tc>
        <w:tc>
          <w:tcPr>
            <w:tcW w:w="659" w:type="dxa"/>
            <w:tcBorders>
              <w:top w:val="single" w:sz="4" w:space="0" w:color="000000"/>
              <w:left w:val="single" w:sz="4" w:space="0" w:color="000000"/>
              <w:right w:val="single" w:sz="4" w:space="0" w:color="000000"/>
            </w:tcBorders>
            <w:vAlign w:val="center"/>
          </w:tcPr>
          <w:p>
            <w:pPr>
              <w:jc w:val="center"/>
              <w:rPr>
                <w:rFonts w:ascii="Times New Roman" w:cs="Times New Roman" w:hAnsi="Times New Roman"/>
                <w:color w:val="000000"/>
                <w:sz w:val="22"/>
                <w:szCs w:val="22"/>
              </w:rPr>
            </w:pPr>
            <w:r>
              <w:rPr>
                <w:rFonts w:ascii="Times New Roman" w:cs="Times New Roman" w:hAnsi="Times New Roman"/>
                <w:color w:val="000000"/>
                <w:sz w:val="22"/>
                <w:szCs w:val="22"/>
              </w:rPr>
              <w:t>6</w:t>
            </w:r>
          </w:p>
        </w:tc>
        <w:tc>
          <w:tcPr>
            <w:tcW w:w="12131" w:type="dxa"/>
            <w:vAlign w:val="center"/>
          </w:tcPr>
          <w:p>
            <w:pPr>
              <w:rPr>
                <w:rFonts w:ascii="宋体" w:eastAsia="宋体" w:cs="宋体"/>
                <w:sz w:val="22"/>
              </w:rPr>
            </w:pPr>
            <w:r>
              <w:rPr>
                <w:rFonts w:ascii="宋体" w:cs="宋体"/>
                <w:sz w:val="22"/>
              </w:rPr>
              <w:t>第7565/2025号法律规定了植物检疫措施并规定了将二手农业机械、设备和器具引入该国的其他风险缓解措施。第7565/2025号法律规定了植物检疫措施并规定了将二手农业机械、设备和器具引入该国的其他风险缓解措施。</w:t>
            </w:r>
          </w:p>
        </w:tc>
      </w:tr>
      <w:tr>
        <w:trPr>
          <w:trHeight w:val="925"/>
        </w:trPr>
        <w:tc>
          <w:tcPr>
            <w:tcW w:w="1383" w:type="dxa"/>
            <w:tcBorders>
              <w:tl2br w:val="nil"/>
              <w:tr2bl w:val="nil"/>
            </w:tcBorders>
            <w:vAlign w:val="center"/>
          </w:tcPr>
          <w:p>
            <w:pPr>
              <w:pStyle w:val="54"/>
              <w:widowControl/>
              <w:jc w:val="center"/>
              <w:textAlignment w:val="center"/>
              <w:rPr>
                <w:rFonts w:ascii="Times New Roman" w:cs="Times New Roman" w:hAnsi="Times New Roman"/>
                <w:color w:val="000000"/>
                <w:sz w:val="24"/>
                <w:szCs w:val="24"/>
              </w:rPr>
            </w:pPr>
            <w:r>
              <w:rPr>
                <w:rFonts w:ascii="Times New Roman" w:cs="Times New Roman" w:hAnsi="Times New Roman"/>
                <w:color w:val="000000"/>
                <w:sz w:val="24"/>
                <w:szCs w:val="24"/>
              </w:rPr>
              <w:t>巴拿马</w:t>
            </w:r>
          </w:p>
        </w:tc>
        <w:tc>
          <w:tcPr>
            <w:tcW w:w="659" w:type="dxa"/>
            <w:tcBorders>
              <w:top w:val="single" w:sz="4" w:space="0" w:color="000000"/>
              <w:left w:val="single" w:sz="4" w:space="0" w:color="000000"/>
              <w:right w:val="single" w:sz="4" w:space="0" w:color="000000"/>
            </w:tcBorders>
            <w:vAlign w:val="center"/>
          </w:tcPr>
          <w:p>
            <w:pPr>
              <w:jc w:val="center"/>
              <w:rPr>
                <w:rFonts w:ascii="Times New Roman" w:cs="Times New Roman" w:hAnsi="Times New Roman"/>
                <w:color w:val="000000"/>
                <w:sz w:val="22"/>
                <w:szCs w:val="22"/>
              </w:rPr>
            </w:pPr>
            <w:r>
              <w:rPr>
                <w:rFonts w:ascii="Times New Roman" w:cs="Times New Roman" w:hAnsi="Times New Roman"/>
                <w:color w:val="000000"/>
                <w:sz w:val="22"/>
                <w:szCs w:val="22"/>
              </w:rPr>
              <w:t>7</w:t>
            </w:r>
          </w:p>
        </w:tc>
        <w:tc>
          <w:tcPr>
            <w:tcW w:w="12131" w:type="dxa"/>
            <w:vAlign w:val="center"/>
          </w:tcPr>
          <w:p>
            <w:pPr>
              <w:rPr>
                <w:rFonts w:ascii="宋体" w:eastAsia="宋体" w:cs="宋体"/>
                <w:sz w:val="22"/>
              </w:rPr>
            </w:pPr>
            <w:r>
              <w:rPr>
                <w:rFonts w:ascii="宋体" w:cs="宋体"/>
                <w:sz w:val="22"/>
              </w:rPr>
              <w:t>规范2017年12月26日关于医疗器械和相关产品的第90号法律并规定其他条款的行政法令，经2019年9月12日第92号法律改革。它规定了医疗器械在国家境内的制造、调节、进口、出口、再出口、信息、广告、标签、分销、营销、储存、使用和最终处置。</w:t>
            </w:r>
          </w:p>
        </w:tc>
      </w:tr>
      <w:tr>
        <w:trPr>
          <w:trHeight w:val="253"/>
        </w:trPr>
        <w:tc>
          <w:tcPr>
            <w:tcW w:w="1383" w:type="dxa"/>
            <w:tcBorders>
              <w:tl2br w:val="nil"/>
              <w:tr2bl w:val="nil"/>
            </w:tcBorders>
            <w:vAlign w:val="center"/>
          </w:tcPr>
          <w:p>
            <w:pPr>
              <w:pStyle w:val="54"/>
              <w:widowControl/>
              <w:jc w:val="center"/>
              <w:textAlignment w:val="center"/>
              <w:rPr>
                <w:rFonts w:ascii="Times New Roman" w:cs="Times New Roman" w:hAnsi="Times New Roman"/>
                <w:color w:val="000000"/>
                <w:sz w:val="24"/>
                <w:szCs w:val="24"/>
              </w:rPr>
            </w:pPr>
            <w:r>
              <w:rPr>
                <w:rFonts w:ascii="Times New Roman" w:cs="Times New Roman" w:hAnsi="Times New Roman"/>
                <w:color w:val="000000"/>
                <w:sz w:val="24"/>
                <w:szCs w:val="24"/>
              </w:rPr>
              <w:t>布隆迪</w:t>
            </w:r>
          </w:p>
        </w:tc>
        <w:tc>
          <w:tcPr>
            <w:tcW w:w="659" w:type="dxa"/>
            <w:tcBorders>
              <w:top w:val="single" w:sz="4" w:space="0" w:color="000000"/>
              <w:left w:val="single" w:sz="4" w:space="0" w:color="000000"/>
              <w:right w:val="single" w:sz="4" w:space="0" w:color="000000"/>
            </w:tcBorders>
            <w:vAlign w:val="center"/>
          </w:tcPr>
          <w:p>
            <w:pPr>
              <w:jc w:val="center"/>
              <w:rPr>
                <w:rFonts w:ascii="Times New Roman" w:cs="Times New Roman" w:hAnsi="Times New Roman"/>
                <w:color w:val="000000"/>
                <w:sz w:val="22"/>
                <w:szCs w:val="22"/>
              </w:rPr>
            </w:pPr>
            <w:r>
              <w:rPr>
                <w:rFonts w:ascii="Times New Roman" w:cs="Times New Roman" w:hAnsi="Times New Roman"/>
                <w:color w:val="000000"/>
                <w:sz w:val="22"/>
                <w:szCs w:val="22"/>
              </w:rPr>
              <w:t>8</w:t>
            </w:r>
          </w:p>
        </w:tc>
        <w:tc>
          <w:tcPr>
            <w:tcW w:w="12131" w:type="dxa"/>
            <w:vAlign w:val="center"/>
          </w:tcPr>
          <w:p>
            <w:pPr>
              <w:jc w:val="left"/>
              <w:rPr>
                <w:rFonts w:ascii="宋体" w:cs="宋体"/>
                <w:sz w:val="22"/>
              </w:rPr>
            </w:pPr>
            <w:r>
              <w:rPr>
                <w:rFonts w:ascii="宋体" w:cs="宋体"/>
                <w:sz w:val="22"/>
              </w:rPr>
              <w:t>DEAS 860：2025，蜡面包包装用原纸规范，第二版。该东非标准草案规定了蜡面包包装原纸的要求、取样和测试方法。</w:t>
            </w:r>
          </w:p>
        </w:tc>
      </w:tr>
      <w:tr>
        <w:trPr>
          <w:trHeight w:val="613"/>
        </w:trPr>
        <w:tc>
          <w:tcPr>
            <w:tcW w:w="1383" w:type="dxa"/>
            <w:tcBorders>
              <w:tl2br w:val="nil"/>
              <w:tr2bl w:val="nil"/>
            </w:tcBorders>
            <w:vAlign w:val="center"/>
          </w:tcPr>
          <w:p>
            <w:pPr>
              <w:pStyle w:val="54"/>
              <w:widowControl/>
              <w:jc w:val="center"/>
              <w:textAlignment w:val="center"/>
              <w:rPr>
                <w:rFonts w:ascii="Times New Roman" w:cs="Times New Roman" w:hAnsi="Times New Roman"/>
                <w:color w:val="000000"/>
                <w:sz w:val="24"/>
                <w:szCs w:val="24"/>
              </w:rPr>
            </w:pPr>
            <w:r>
              <w:rPr>
                <w:rFonts w:ascii="Times New Roman" w:cs="Times New Roman" w:hAnsi="Times New Roman"/>
                <w:color w:val="000000"/>
                <w:sz w:val="24"/>
                <w:szCs w:val="24"/>
              </w:rPr>
              <w:t>俄罗斯</w:t>
            </w:r>
          </w:p>
        </w:tc>
        <w:tc>
          <w:tcPr>
            <w:tcW w:w="659" w:type="dxa"/>
            <w:tcBorders>
              <w:top w:val="single" w:sz="4" w:space="0" w:color="000000"/>
              <w:left w:val="single" w:sz="4" w:space="0" w:color="000000"/>
              <w:right w:val="single" w:sz="4" w:space="0" w:color="000000"/>
            </w:tcBorders>
            <w:vAlign w:val="center"/>
          </w:tcPr>
          <w:p>
            <w:pPr>
              <w:jc w:val="center"/>
              <w:rPr>
                <w:rFonts w:ascii="Times New Roman" w:cs="Times New Roman" w:hAnsi="Times New Roman"/>
                <w:color w:val="000000"/>
                <w:sz w:val="22"/>
                <w:szCs w:val="22"/>
              </w:rPr>
            </w:pPr>
            <w:r>
              <w:rPr>
                <w:rFonts w:ascii="Times New Roman" w:cs="Times New Roman" w:hAnsi="Times New Roman"/>
                <w:color w:val="000000"/>
                <w:sz w:val="22"/>
                <w:szCs w:val="22"/>
              </w:rPr>
              <w:t>9</w:t>
            </w:r>
          </w:p>
        </w:tc>
        <w:tc>
          <w:tcPr>
            <w:tcW w:w="12131" w:type="dxa"/>
            <w:vAlign w:val="center"/>
          </w:tcPr>
          <w:p>
            <w:pPr>
              <w:jc w:val="left"/>
              <w:rPr>
                <w:rFonts w:ascii="宋体" w:eastAsia="宋体" w:cs="宋体"/>
                <w:sz w:val="22"/>
              </w:rPr>
            </w:pPr>
            <w:r>
              <w:rPr>
                <w:rFonts w:ascii="宋体" w:cs="宋体"/>
                <w:sz w:val="22"/>
              </w:rPr>
              <w:t>欧亚经济联盟“关于包括天然矿泉水在内的包装饮用水的安全”技术法规第2号修正案草案（TR EAEU 044/2017）。TR EAEU 044/2017第2号修正案草案——引入了许多关于天然矿泉水、天然和处理过的饮用水标签的要求，以及在包装饮用水的声明或国家注册期间确认标签合规性的要求，旨在保护消费者免受关于饮用水来源、安全性和特性的不完整或不可靠信息的影响；根据多年使用矿泉水的经验、其治疗性和预防性应用方法、毒理学研究，并考虑到国际、州际和国家标准的要求，修订天然矿泉水中氟化物的允许水平（与地下水有关）、锰以及评估治疗性和治疗性地下水辐射安全的要求；消除了一些编辑和技术上的不一致之处。</w:t>
            </w:r>
          </w:p>
        </w:tc>
      </w:tr>
      <w:tr>
        <w:trPr>
          <w:trHeight w:val="1023"/>
        </w:trPr>
        <w:tc>
          <w:tcPr>
            <w:tcW w:w="1383" w:type="dxa"/>
            <w:vMerge w:val="restart"/>
            <w:tcBorders>
              <w:tl2br w:val="nil"/>
              <w:tr2bl w:val="nil"/>
            </w:tcBorders>
            <w:vAlign w:val="center"/>
          </w:tcPr>
          <w:p>
            <w:pPr>
              <w:jc w:val="center"/>
              <w:textAlignment w:val="center"/>
            </w:pPr>
            <w:r>
              <w:t>澳大利亚</w:t>
            </w:r>
          </w:p>
        </w:tc>
        <w:tc>
          <w:tcPr>
            <w:tcW w:w="659" w:type="dxa"/>
            <w:tcBorders>
              <w:top w:val="single" w:sz="4" w:space="0" w:color="000000"/>
              <w:left w:val="single" w:sz="4" w:space="0" w:color="000000"/>
              <w:right w:val="single" w:sz="4" w:space="0" w:color="000000"/>
            </w:tcBorders>
            <w:vAlign w:val="center"/>
          </w:tcPr>
          <w:p>
            <w:pPr>
              <w:jc w:val="center"/>
              <w:rPr>
                <w:rFonts w:ascii="Times New Roman" w:cs="Times New Roman" w:hAnsi="Times New Roman"/>
                <w:color w:val="000000"/>
                <w:sz w:val="22"/>
                <w:szCs w:val="22"/>
              </w:rPr>
            </w:pPr>
            <w:r>
              <w:rPr>
                <w:rFonts w:ascii="Times New Roman" w:cs="Times New Roman" w:hAnsi="Times New Roman"/>
                <w:color w:val="000000"/>
                <w:sz w:val="22"/>
                <w:szCs w:val="22"/>
              </w:rPr>
              <w:t>10</w:t>
            </w:r>
          </w:p>
        </w:tc>
        <w:tc>
          <w:tcPr>
            <w:tcW w:w="12131" w:type="dxa"/>
            <w:vAlign w:val="center"/>
          </w:tcPr>
          <w:p>
            <w:pPr>
              <w:jc w:val="left"/>
              <w:rPr>
                <w:rFonts w:ascii="宋体" w:cs="宋体" w:hint="eastAsia"/>
                <w:sz w:val="22"/>
              </w:rPr>
            </w:pPr>
            <w:r>
              <w:rPr>
                <w:rFonts w:ascii="宋体" w:cs="宋体" w:hint="eastAsia"/>
                <w:sz w:val="22"/>
              </w:rPr>
              <w:t>征求意见稿车辆标准（澳大利亚设计规则114/00-二氧化碳排放测量）</w:t>
            </w:r>
            <w:r>
              <w:rPr>
                <w:rFonts w:ascii="宋体" w:cs="宋体"/>
                <w:sz w:val="22"/>
              </w:rPr>
              <w:t>。</w:t>
            </w:r>
            <w:r>
              <w:rPr>
                <w:rFonts w:ascii="宋体" w:cs="宋体" w:hint="eastAsia"/>
                <w:sz w:val="22"/>
              </w:rPr>
              <w:t>车辆标准（澳大利亚设计规则114/00-二氧化碳排放测量）解释性声明草案澳大利亚新车辆效率标准轻型车辆型式认证CO2排放值的转换方法</w:t>
            </w:r>
            <w:r>
              <w:rPr>
                <w:rFonts w:ascii="宋体" w:cs="宋体"/>
                <w:sz w:val="22"/>
              </w:rPr>
              <w:t>。</w:t>
            </w:r>
            <w:r>
              <w:rPr>
                <w:rFonts w:ascii="宋体" w:cs="宋体" w:hint="eastAsia"/>
                <w:sz w:val="22"/>
              </w:rPr>
              <w:t>澳大利亚政府正在提出一项新的车辆标准，以使新的《车辆效率标准法案》能够适用于车辆总质量超过3500公斤且小于3855公斤的特定车辆。该通报概述了澳大利亚政府打算采用新的车辆标准（澳大利亚设计规则(ADR)114/00-二氧化碳排放测量），从2027年1月1日起，对车辆总质量在3500千克至3855千克之间的特定车辆强制执行二氧化碳排放测试要求。</w:t>
            </w:r>
          </w:p>
        </w:tc>
      </w:tr>
      <w:tr>
        <w:trPr>
          <w:trHeight w:val="1322"/>
        </w:trPr>
        <w:tc>
          <w:tcPr>
            <w:tcW w:w="1383" w:type="dxa"/>
            <w:vMerge/>
            <w:tcBorders>
              <w:tl2br w:val="nil"/>
              <w:tr2bl w:val="nil"/>
            </w:tcBorders>
            <w:vAlign w:val="center"/>
          </w:tcPr>
          <w:p/>
        </w:tc>
        <w:tc>
          <w:tcPr>
            <w:tcW w:w="659" w:type="dxa"/>
            <w:tcBorders>
              <w:top w:val="single" w:sz="4" w:space="0" w:color="000000"/>
              <w:left w:val="single" w:sz="4" w:space="0" w:color="000000"/>
              <w:right w:val="single" w:sz="4" w:space="0" w:color="000000"/>
            </w:tcBorders>
            <w:vAlign w:val="center"/>
          </w:tcPr>
          <w:p>
            <w:pPr>
              <w:jc w:val="center"/>
              <w:rPr>
                <w:rFonts w:ascii="Times New Roman" w:cs="Times New Roman" w:hAnsi="Times New Roman"/>
                <w:color w:val="000000"/>
                <w:sz w:val="22"/>
                <w:szCs w:val="22"/>
              </w:rPr>
            </w:pPr>
            <w:r>
              <w:rPr>
                <w:rFonts w:ascii="Times New Roman" w:cs="Times New Roman" w:hAnsi="Times New Roman" w:hint="eastAsia"/>
                <w:color w:val="000000"/>
                <w:sz w:val="22"/>
                <w:szCs w:val="22"/>
              </w:rPr>
              <w:t>11</w:t>
            </w:r>
          </w:p>
        </w:tc>
        <w:tc>
          <w:tcPr>
            <w:tcW w:w="12131" w:type="dxa"/>
            <w:vAlign w:val="center"/>
          </w:tcPr>
          <w:p>
            <w:pPr>
              <w:rPr>
                <w:rFonts w:ascii="宋体" w:cs="宋体" w:hint="eastAsia"/>
                <w:sz w:val="22"/>
              </w:rPr>
            </w:pPr>
            <w:r>
              <w:rPr>
                <w:rFonts w:ascii="宋体" w:cs="宋体" w:hint="eastAsia"/>
                <w:sz w:val="22"/>
              </w:rPr>
              <w:t>关于取代TGO 91和TGO 92的新标准规则拟议修订案</w:t>
            </w:r>
            <w:r>
              <w:rPr>
                <w:rFonts w:ascii="宋体" w:cs="宋体"/>
                <w:sz w:val="22"/>
              </w:rPr>
              <w:t>。</w:t>
            </w:r>
            <w:r>
              <w:rPr>
                <w:rFonts w:ascii="宋体" w:cs="宋体" w:hint="eastAsia"/>
                <w:sz w:val="22"/>
              </w:rPr>
              <w:t>治疗商品管理局是澳大利亚的治疗商品监管机构</w:t>
            </w:r>
            <w:r>
              <w:rPr>
                <w:rFonts w:ascii="宋体" w:cs="宋体"/>
                <w:sz w:val="22"/>
              </w:rPr>
              <w:t>，</w:t>
            </w:r>
            <w:r>
              <w:rPr>
                <w:rFonts w:ascii="宋体" w:cs="宋体" w:hint="eastAsia"/>
                <w:sz w:val="22"/>
              </w:rPr>
              <w:t>对治疗商品的安全性、有效性、性能和质量进行监管，以帮助保护和改善澳大利亚民众的健康。根据1989年《治疗商品法案》，设有制定治疗商品质量标准的条款。这些标准称为治疗商品指令（TGOs），可规定具体的标签、包装或其他要求。TGOs一经批准，将在澳大利亚《联邦立法登记册》上登记为立法文书。以下关于药品标签的TGOs将于2026年10月1日失效：第91号治疗商品指令——处方药及相关药品标签标准（TGO 91）第92号治疗商品指令——非处方药标签标准（TGO 92）。它们适用于为在澳大利亚供应而载入澳大利亚治疗商品登记册的药品。TGO 91和TGO 92规定了标签上必须包含的信息类型、适用情形以及通用要求，以支持药品的安全和质量使用。TGO 91和TGO 92运行良好，但已确定若干需要改进的领域。计划在其失效前用新标准取代它们。新标准将包含一些要求变更，以进一步支持药品的安全使用，并为药品申办方提供更清晰的指引。</w:t>
            </w:r>
          </w:p>
        </w:tc>
      </w:tr>
      <w:tr>
        <w:trPr>
          <w:trHeight w:val="691"/>
        </w:trPr>
        <w:tc>
          <w:tcPr>
            <w:tcW w:w="1383" w:type="dxa"/>
            <w:tcBorders>
              <w:tl2br w:val="nil"/>
              <w:tr2bl w:val="nil"/>
            </w:tcBorders>
            <w:vAlign w:val="center"/>
          </w:tcPr>
          <w:p>
            <w:pPr>
              <w:pStyle w:val="35"/>
              <w:jc w:val="center"/>
            </w:pPr>
            <w:r>
              <w:t>厄瓜多尔</w:t>
            </w:r>
          </w:p>
        </w:tc>
        <w:tc>
          <w:tcPr>
            <w:tcW w:w="659" w:type="dxa"/>
            <w:tcBorders>
              <w:top w:val="single" w:sz="4" w:space="0" w:color="000000"/>
              <w:left w:val="single" w:sz="4" w:space="0" w:color="000000"/>
              <w:right w:val="single" w:sz="4" w:space="0" w:color="000000"/>
            </w:tcBorders>
            <w:vAlign w:val="center"/>
          </w:tcPr>
          <w:p>
            <w:pPr>
              <w:jc w:val="center"/>
              <w:rPr>
                <w:rFonts w:ascii="Times New Roman" w:cs="Times New Roman" w:hAnsi="Times New Roman"/>
                <w:color w:val="000000"/>
                <w:sz w:val="22"/>
                <w:szCs w:val="22"/>
              </w:rPr>
            </w:pPr>
            <w:r>
              <w:rPr>
                <w:rFonts w:ascii="Times New Roman" w:cs="Times New Roman" w:hAnsi="Times New Roman" w:hint="eastAsia"/>
                <w:color w:val="000000"/>
                <w:sz w:val="22"/>
                <w:szCs w:val="22"/>
              </w:rPr>
              <w:t>12</w:t>
            </w:r>
          </w:p>
        </w:tc>
        <w:tc>
          <w:tcPr>
            <w:tcW w:w="12131" w:type="dxa"/>
            <w:vAlign w:val="center"/>
          </w:tcPr>
          <w:p>
            <w:pPr>
              <w:jc w:val="left"/>
              <w:rPr>
                <w:rFonts w:ascii="宋体" w:eastAsia="宋体" w:cs="宋体"/>
                <w:sz w:val="22"/>
              </w:rPr>
            </w:pPr>
            <w:r>
              <w:rPr>
                <w:rFonts w:ascii="宋体" w:cs="宋体"/>
                <w:sz w:val="22"/>
              </w:rPr>
              <w:t>第2548号决议，禁止在化妆品中使用成分三甲基苯甲酰二苯基氧化膦和N，N-二甲基对甲苯胺。第2548号决议旨在禁止在安第斯共同体销售的化妆品中使用成分三甲基苯甲酰二苯基氧化膦和N，N-二甲基对甲苯胺。</w:t>
            </w:r>
          </w:p>
        </w:tc>
      </w:tr>
      <w:tr>
        <w:trPr>
          <w:trHeight w:val="1237"/>
        </w:trPr>
        <w:tc>
          <w:tcPr>
            <w:tcW w:w="1383" w:type="dxa"/>
            <w:vMerge w:val="restart"/>
            <w:tcBorders>
              <w:tl2br w:val="nil"/>
              <w:tr2bl w:val="nil"/>
            </w:tcBorders>
            <w:vAlign w:val="center"/>
          </w:tcPr>
          <w:p>
            <w:pPr>
              <w:pStyle w:val="85"/>
              <w:jc w:val="center"/>
            </w:pPr>
            <w:r>
              <w:t>菲律宾</w:t>
            </w:r>
          </w:p>
        </w:tc>
        <w:tc>
          <w:tcPr>
            <w:tcW w:w="659" w:type="dxa"/>
            <w:tcBorders>
              <w:top w:val="single" w:sz="4" w:space="0" w:color="000000"/>
              <w:left w:val="single" w:sz="4" w:space="0" w:color="000000"/>
              <w:right w:val="single" w:sz="4" w:space="0" w:color="000000"/>
            </w:tcBorders>
            <w:vAlign w:val="center"/>
          </w:tcPr>
          <w:p>
            <w:pPr>
              <w:jc w:val="center"/>
              <w:rPr>
                <w:rFonts w:ascii="Times New Roman" w:cs="Times New Roman" w:hAnsi="Times New Roman"/>
                <w:color w:val="000000"/>
                <w:sz w:val="22"/>
                <w:szCs w:val="22"/>
              </w:rPr>
            </w:pPr>
            <w:r>
              <w:rPr>
                <w:rFonts w:ascii="Times New Roman" w:cs="Times New Roman" w:hAnsi="Times New Roman"/>
                <w:color w:val="000000"/>
                <w:sz w:val="22"/>
                <w:szCs w:val="22"/>
              </w:rPr>
              <w:t>13</w:t>
            </w:r>
          </w:p>
        </w:tc>
        <w:tc>
          <w:tcPr>
            <w:tcW w:w="12131" w:type="dxa"/>
            <w:vAlign w:val="center"/>
          </w:tcPr>
          <w:p>
            <w:pPr>
              <w:jc w:val="left"/>
              <w:rPr>
                <w:rFonts w:ascii="宋体" w:cs="宋体"/>
                <w:sz w:val="22"/>
              </w:rPr>
            </w:pPr>
            <w:r>
              <w:rPr>
                <w:rFonts w:ascii="宋体" w:cs="宋体"/>
                <w:sz w:val="22"/>
              </w:rPr>
              <w:t xml:space="preserve">2025年PELP电水壶和水壶实施指南草案，第一版。根据经修订的第2020-06-0015号部门通知第5节和第9节，题为“为电器和其他耗能产品的进口商、制造商、分销商和经销商制定菲律宾能源标签计划合规指南”，特此发布电水壶和水壶的实施指南，包括电水壶和水壶的特定产品要求和行为准则，供所有相关人员参考和指导，并供所有制造商、进口商、分销商、经销商、零售商和其他主要利益相关方遵守。 </w:t>
            </w:r>
          </w:p>
        </w:tc>
      </w:tr>
      <w:tr>
        <w:trPr>
          <w:trHeight w:val="613"/>
        </w:trPr>
        <w:tc>
          <w:tcPr>
            <w:tcW w:w="1383" w:type="dxa"/>
            <w:vMerge/>
            <w:tcBorders>
              <w:tl2br w:val="nil"/>
              <w:tr2bl w:val="nil"/>
            </w:tcBorders>
            <w:vAlign w:val="center"/>
          </w:tcPr>
          <w:p/>
        </w:tc>
        <w:tc>
          <w:tcPr>
            <w:tcW w:w="659" w:type="dxa"/>
            <w:tcBorders>
              <w:top w:val="single" w:sz="4" w:space="0" w:color="000000"/>
              <w:left w:val="single" w:sz="4" w:space="0" w:color="000000"/>
              <w:right w:val="single" w:sz="4" w:space="0" w:color="000000"/>
            </w:tcBorders>
            <w:vAlign w:val="center"/>
          </w:tcPr>
          <w:p>
            <w:pPr>
              <w:jc w:val="center"/>
              <w:rPr>
                <w:rFonts w:ascii="Times New Roman" w:cs="Times New Roman" w:hAnsi="Times New Roman"/>
                <w:color w:val="000000"/>
                <w:sz w:val="22"/>
                <w:szCs w:val="22"/>
              </w:rPr>
            </w:pPr>
            <w:r>
              <w:rPr>
                <w:rFonts w:ascii="Times New Roman" w:cs="Times New Roman" w:hAnsi="Times New Roman"/>
                <w:color w:val="000000"/>
                <w:sz w:val="22"/>
                <w:szCs w:val="22"/>
              </w:rPr>
              <w:t>14</w:t>
            </w:r>
          </w:p>
        </w:tc>
        <w:tc>
          <w:tcPr>
            <w:tcW w:w="12131" w:type="dxa"/>
            <w:vAlign w:val="center"/>
          </w:tcPr>
          <w:p>
            <w:pPr>
              <w:jc w:val="left"/>
              <w:rPr>
                <w:rFonts w:ascii="宋体" w:cs="宋体"/>
                <w:sz w:val="22"/>
              </w:rPr>
            </w:pPr>
            <w:r>
              <w:rPr>
                <w:rFonts w:ascii="宋体" w:cs="宋体"/>
                <w:sz w:val="22"/>
              </w:rPr>
              <w:t>关于结构钢产品强制性产品认证的新技术规定。本DAO旨在严格确保在菲律宾制造、进口、分销或销售的结构钢产品符合这些技术法规规定的特定安全和/或质量要求。</w:t>
            </w:r>
          </w:p>
        </w:tc>
      </w:tr>
      <w:tr>
        <w:trPr>
          <w:trHeight w:val="301"/>
        </w:trPr>
        <w:tc>
          <w:tcPr>
            <w:tcW w:w="1383" w:type="dxa"/>
            <w:vMerge w:val="restart"/>
            <w:tcBorders>
              <w:tl2br w:val="nil"/>
              <w:tr2bl w:val="nil"/>
            </w:tcBorders>
            <w:vAlign w:val="center"/>
          </w:tcPr>
          <w:p>
            <w:pPr>
              <w:pStyle w:val="86"/>
              <w:jc w:val="center"/>
            </w:pPr>
            <w:r>
              <w:t>韩国</w:t>
            </w:r>
          </w:p>
        </w:tc>
        <w:tc>
          <w:tcPr>
            <w:tcW w:w="659" w:type="dxa"/>
            <w:tcBorders>
              <w:top w:val="single" w:sz="4" w:space="0" w:color="000000"/>
              <w:left w:val="single" w:sz="4" w:space="0" w:color="000000"/>
              <w:right w:val="single" w:sz="4" w:space="0" w:color="000000"/>
            </w:tcBorders>
            <w:vAlign w:val="center"/>
          </w:tcPr>
          <w:p>
            <w:pPr>
              <w:jc w:val="center"/>
              <w:rPr>
                <w:rFonts w:ascii="Times New Roman" w:cs="Times New Roman" w:hAnsi="Times New Roman"/>
                <w:color w:val="000000"/>
                <w:sz w:val="22"/>
                <w:szCs w:val="22"/>
              </w:rPr>
            </w:pPr>
            <w:r>
              <w:rPr>
                <w:rFonts w:ascii="Times New Roman" w:cs="Times New Roman" w:hAnsi="Times New Roman"/>
                <w:color w:val="000000"/>
                <w:sz w:val="22"/>
                <w:szCs w:val="22"/>
              </w:rPr>
              <w:t>15</w:t>
            </w:r>
          </w:p>
        </w:tc>
        <w:tc>
          <w:tcPr>
            <w:tcW w:w="12131" w:type="dxa"/>
            <w:vAlign w:val="center"/>
          </w:tcPr>
          <w:p>
            <w:pPr>
              <w:jc w:val="left"/>
              <w:rPr>
                <w:rFonts w:ascii="宋体" w:cs="宋体" w:hint="eastAsia"/>
                <w:sz w:val="22"/>
              </w:rPr>
            </w:pPr>
            <w:r>
              <w:rPr>
                <w:rFonts w:ascii="宋体" w:cs="宋体" w:hint="eastAsia"/>
                <w:sz w:val="22"/>
              </w:rPr>
              <w:t>电动个人移动设备安全验证标准修订草案</w:t>
            </w:r>
            <w:r>
              <w:rPr>
                <w:rFonts w:ascii="宋体" w:cs="宋体"/>
                <w:sz w:val="22"/>
              </w:rPr>
              <w:t>。</w:t>
            </w:r>
            <w:r>
              <w:rPr>
                <w:rFonts w:ascii="宋体" w:cs="宋体" w:hint="eastAsia"/>
                <w:sz w:val="22"/>
              </w:rPr>
              <w:t>制定电动个人移动设备的安全要求（相关的最高速度等）</w:t>
            </w:r>
            <w:r>
              <w:rPr>
                <w:rFonts w:ascii="宋体" w:cs="宋体"/>
                <w:sz w:val="22"/>
              </w:rPr>
              <w:t>。</w:t>
            </w:r>
          </w:p>
        </w:tc>
      </w:tr>
      <w:tr>
        <w:trPr>
          <w:trHeight w:val="242"/>
        </w:trPr>
        <w:tc>
          <w:tcPr>
            <w:tcW w:w="1383" w:type="dxa"/>
            <w:vMerge/>
            <w:tcBorders>
              <w:tl2br w:val="nil"/>
              <w:tr2bl w:val="nil"/>
            </w:tcBorders>
            <w:vAlign w:val="center"/>
          </w:tcPr>
          <w:p/>
        </w:tc>
        <w:tc>
          <w:tcPr>
            <w:tcW w:w="659" w:type="dxa"/>
            <w:tcBorders>
              <w:top w:val="single" w:sz="4" w:space="0" w:color="000000"/>
              <w:left w:val="single" w:sz="4" w:space="0" w:color="000000"/>
              <w:right w:val="single" w:sz="4" w:space="0" w:color="000000"/>
            </w:tcBorders>
            <w:vAlign w:val="center"/>
          </w:tcPr>
          <w:p>
            <w:pPr>
              <w:jc w:val="center"/>
              <w:rPr>
                <w:rFonts w:ascii="Times New Roman" w:cs="Times New Roman" w:hAnsi="Times New Roman"/>
                <w:color w:val="000000"/>
                <w:sz w:val="22"/>
                <w:szCs w:val="22"/>
              </w:rPr>
            </w:pPr>
            <w:r>
              <w:rPr>
                <w:rFonts w:ascii="Times New Roman" w:cs="Times New Roman" w:hAnsi="Times New Roman"/>
                <w:color w:val="000000"/>
                <w:sz w:val="22"/>
                <w:szCs w:val="22"/>
              </w:rPr>
              <w:t>16</w:t>
            </w:r>
          </w:p>
        </w:tc>
        <w:tc>
          <w:tcPr>
            <w:tcW w:w="12131" w:type="dxa"/>
            <w:vAlign w:val="center"/>
          </w:tcPr>
          <w:p>
            <w:pPr>
              <w:jc w:val="left"/>
              <w:rPr>
                <w:rFonts w:ascii="宋体" w:cs="宋体" w:hint="eastAsia"/>
                <w:sz w:val="22"/>
              </w:rPr>
            </w:pPr>
            <w:r>
              <w:rPr>
                <w:rFonts w:ascii="宋体" w:cs="宋体" w:hint="eastAsia"/>
                <w:sz w:val="22"/>
              </w:rPr>
              <w:t>自行车安全验证标准修订草案</w:t>
            </w:r>
            <w:r>
              <w:rPr>
                <w:rFonts w:ascii="宋体" w:cs="宋体"/>
                <w:sz w:val="22"/>
              </w:rPr>
              <w:t>。</w:t>
            </w:r>
            <w:r>
              <w:rPr>
                <w:rFonts w:ascii="宋体" w:cs="宋体" w:hint="eastAsia"/>
                <w:sz w:val="22"/>
              </w:rPr>
              <w:t xml:space="preserve"> 建立自行车的安全要求（水平力疲劳试验等）</w:t>
            </w:r>
            <w:r>
              <w:rPr>
                <w:rFonts w:ascii="宋体" w:cs="宋体"/>
                <w:sz w:val="22"/>
              </w:rPr>
              <w:t>。</w:t>
            </w:r>
          </w:p>
        </w:tc>
      </w:tr>
      <w:tr>
        <w:trPr>
          <w:trHeight w:val="670"/>
        </w:trPr>
        <w:tc>
          <w:tcPr>
            <w:tcW w:w="1383" w:type="dxa"/>
            <w:vMerge/>
            <w:tcBorders>
              <w:tl2br w:val="nil"/>
              <w:tr2bl w:val="nil"/>
            </w:tcBorders>
            <w:vAlign w:val="center"/>
          </w:tcPr>
          <w:p/>
        </w:tc>
        <w:tc>
          <w:tcPr>
            <w:tcW w:w="659" w:type="dxa"/>
            <w:tcBorders>
              <w:top w:val="single" w:sz="4" w:space="0" w:color="000000"/>
              <w:left w:val="single" w:sz="4" w:space="0" w:color="000000"/>
              <w:right w:val="single" w:sz="4" w:space="0" w:color="000000"/>
            </w:tcBorders>
            <w:vAlign w:val="center"/>
          </w:tcPr>
          <w:p>
            <w:pPr>
              <w:jc w:val="center"/>
              <w:rPr>
                <w:rFonts w:ascii="Times New Roman" w:cs="Times New Roman" w:hAnsi="Times New Roman"/>
                <w:color w:val="000000"/>
                <w:sz w:val="22"/>
                <w:szCs w:val="22"/>
              </w:rPr>
            </w:pPr>
            <w:r>
              <w:rPr>
                <w:rFonts w:ascii="Times New Roman" w:cs="Times New Roman" w:hAnsi="Times New Roman"/>
                <w:color w:val="000000"/>
                <w:sz w:val="22"/>
                <w:szCs w:val="22"/>
              </w:rPr>
              <w:t>17</w:t>
            </w:r>
          </w:p>
        </w:tc>
        <w:tc>
          <w:tcPr>
            <w:tcW w:w="12131" w:type="dxa"/>
            <w:vAlign w:val="center"/>
          </w:tcPr>
          <w:p>
            <w:pPr>
              <w:jc w:val="left"/>
              <w:rPr>
                <w:rFonts w:ascii="宋体" w:cs="宋体" w:hint="eastAsia"/>
                <w:sz w:val="22"/>
              </w:rPr>
            </w:pPr>
            <w:r>
              <w:rPr>
                <w:rFonts w:ascii="宋体" w:cs="宋体" w:hint="eastAsia"/>
                <w:sz w:val="22"/>
              </w:rPr>
              <w:t>《韩国准药品法典》修正案草案</w:t>
            </w:r>
            <w:r>
              <w:rPr>
                <w:rFonts w:ascii="宋体" w:cs="宋体"/>
                <w:sz w:val="22"/>
              </w:rPr>
              <w:t>。</w:t>
            </w:r>
            <w:r>
              <w:rPr>
                <w:rFonts w:ascii="宋体" w:cs="宋体" w:hint="eastAsia"/>
                <w:sz w:val="22"/>
              </w:rPr>
              <w:t>食品药品安全部正在对《韩国准药品法典》进行如下修改：增加KF80口罩颗粒物过滤效率测试的标准和测试方法</w:t>
            </w:r>
            <w:r>
              <w:rPr>
                <w:rFonts w:ascii="宋体" w:cs="宋体"/>
                <w:sz w:val="22"/>
              </w:rPr>
              <w:t>；</w:t>
            </w:r>
            <w:r>
              <w:rPr>
                <w:rFonts w:ascii="宋体" w:cs="宋体" w:hint="eastAsia"/>
                <w:sz w:val="22"/>
              </w:rPr>
              <w:t>增加包装纱布造影剂试验中使用的试剂名称</w:t>
            </w:r>
            <w:r>
              <w:rPr>
                <w:rFonts w:ascii="宋体" w:cs="宋体"/>
                <w:sz w:val="22"/>
              </w:rPr>
              <w:t>；</w:t>
            </w:r>
            <w:r>
              <w:rPr>
                <w:rFonts w:ascii="宋体" w:cs="宋体" w:hint="eastAsia"/>
                <w:sz w:val="22"/>
              </w:rPr>
              <w:t>L-薄荷醇和DL-薄荷醇定量测定方法的建立</w:t>
            </w:r>
            <w:r>
              <w:rPr>
                <w:rFonts w:ascii="宋体" w:cs="宋体"/>
                <w:sz w:val="22"/>
              </w:rPr>
              <w:t>。</w:t>
            </w:r>
          </w:p>
        </w:tc>
      </w:tr>
      <w:tr>
        <w:trPr>
          <w:trHeight w:val="925"/>
        </w:trPr>
        <w:tc>
          <w:tcPr>
            <w:tcW w:w="1383" w:type="dxa"/>
            <w:vMerge/>
            <w:tcBorders>
              <w:tl2br w:val="nil"/>
              <w:tr2bl w:val="nil"/>
            </w:tcBorders>
            <w:vAlign w:val="center"/>
          </w:tcPr>
          <w:p/>
        </w:tc>
        <w:tc>
          <w:tcPr>
            <w:tcW w:w="659" w:type="dxa"/>
            <w:tcBorders>
              <w:top w:val="single" w:sz="4" w:space="0" w:color="000000"/>
              <w:left w:val="single" w:sz="4" w:space="0" w:color="000000"/>
              <w:right w:val="single" w:sz="4" w:space="0" w:color="000000"/>
            </w:tcBorders>
            <w:vAlign w:val="center"/>
          </w:tcPr>
          <w:p>
            <w:pPr>
              <w:jc w:val="center"/>
              <w:rPr>
                <w:rFonts w:ascii="Times New Roman" w:cs="Times New Roman" w:hAnsi="Times New Roman"/>
                <w:color w:val="000000"/>
                <w:sz w:val="22"/>
                <w:szCs w:val="22"/>
              </w:rPr>
            </w:pPr>
            <w:r>
              <w:rPr>
                <w:rFonts w:ascii="Times New Roman" w:cs="Times New Roman" w:hAnsi="Times New Roman"/>
                <w:color w:val="000000"/>
                <w:sz w:val="22"/>
                <w:szCs w:val="22"/>
              </w:rPr>
              <w:t>18</w:t>
            </w:r>
          </w:p>
        </w:tc>
        <w:tc>
          <w:tcPr>
            <w:tcW w:w="12131" w:type="dxa"/>
            <w:vAlign w:val="center"/>
          </w:tcPr>
          <w:p>
            <w:pPr>
              <w:jc w:val="left"/>
              <w:rPr>
                <w:rFonts w:ascii="宋体" w:cs="宋体" w:hint="eastAsia"/>
                <w:sz w:val="22"/>
              </w:rPr>
            </w:pPr>
            <w:r>
              <w:rPr>
                <w:rFonts w:ascii="宋体" w:cs="宋体" w:hint="eastAsia"/>
                <w:sz w:val="22"/>
              </w:rPr>
              <w:t>《须进行安全验证的日用消费化学品的指定及其安全与标签标准》修订草案</w:t>
            </w:r>
            <w:r>
              <w:rPr>
                <w:rFonts w:ascii="宋体" w:cs="宋体"/>
                <w:sz w:val="22"/>
              </w:rPr>
              <w:t>。</w:t>
            </w:r>
            <w:r>
              <w:rPr>
                <w:rFonts w:ascii="宋体" w:cs="宋体" w:hint="eastAsia"/>
                <w:sz w:val="22"/>
              </w:rPr>
              <w:t>修订主要内容由于杀生剂产品的监管措施发生变化，相应删除和修订了须进行安全验证的日用消费化学品名录。收严并完善了须进行安全验证的日用消费化学品的安全与标签标准。</w:t>
            </w:r>
          </w:p>
        </w:tc>
      </w:tr>
      <w:tr>
        <w:trPr>
          <w:trHeight w:val="925"/>
        </w:trPr>
        <w:tc>
          <w:tcPr>
            <w:tcW w:w="1383" w:type="dxa"/>
            <w:vMerge/>
            <w:tcBorders>
              <w:tl2br w:val="nil"/>
              <w:tr2bl w:val="nil"/>
            </w:tcBorders>
            <w:vAlign w:val="center"/>
          </w:tcPr>
          <w:p/>
        </w:tc>
        <w:tc>
          <w:tcPr>
            <w:tcW w:w="659" w:type="dxa"/>
            <w:tcBorders>
              <w:top w:val="single" w:sz="4" w:space="0" w:color="000000"/>
              <w:left w:val="single" w:sz="4" w:space="0" w:color="000000"/>
              <w:right w:val="single" w:sz="4" w:space="0" w:color="000000"/>
            </w:tcBorders>
            <w:vAlign w:val="center"/>
          </w:tcPr>
          <w:p>
            <w:pPr>
              <w:jc w:val="center"/>
              <w:rPr>
                <w:rFonts w:ascii="Times New Roman" w:cs="Times New Roman" w:hAnsi="Times New Roman"/>
                <w:color w:val="000000"/>
                <w:sz w:val="22"/>
                <w:szCs w:val="22"/>
              </w:rPr>
            </w:pPr>
            <w:r>
              <w:rPr>
                <w:rFonts w:ascii="Times New Roman" w:cs="Times New Roman" w:hAnsi="Times New Roman"/>
                <w:color w:val="000000"/>
                <w:sz w:val="22"/>
                <w:szCs w:val="22"/>
              </w:rPr>
              <w:t>19</w:t>
            </w:r>
          </w:p>
        </w:tc>
        <w:tc>
          <w:tcPr>
            <w:tcW w:w="12131" w:type="dxa"/>
            <w:vAlign w:val="center"/>
          </w:tcPr>
          <w:p>
            <w:pPr>
              <w:jc w:val="left"/>
              <w:rPr>
                <w:rFonts w:ascii="宋体" w:cs="宋体" w:hint="eastAsia"/>
                <w:sz w:val="22"/>
              </w:rPr>
            </w:pPr>
            <w:r>
              <w:rPr>
                <w:rFonts w:ascii="宋体" w:cs="宋体" w:hint="eastAsia"/>
                <w:sz w:val="22"/>
              </w:rPr>
              <w:t>简易电台、空间电台、地球站、无线电波探测及其他无线电设备技术法规修订草案</w:t>
            </w:r>
            <w:r>
              <w:rPr>
                <w:rFonts w:ascii="宋体" w:cs="宋体"/>
                <w:sz w:val="22"/>
              </w:rPr>
              <w:t>。</w:t>
            </w:r>
            <w:r>
              <w:rPr>
                <w:rFonts w:ascii="宋体" w:cs="宋体" w:hint="eastAsia"/>
                <w:sz w:val="22"/>
              </w:rPr>
              <w:t>1）规定公共安全网络中物联网（IoT）终端的技术条件；2）规定无人机探测雷达的定义、频段及调制方式等技术条件；3）有限允许在335.4 MHz</w:t>
            </w:r>
            <w:r>
              <w:rPr>
                <w:rFonts w:ascii="宋体" w:cs="宋体"/>
                <w:sz w:val="22"/>
              </w:rPr>
              <w:t>-</w:t>
            </w:r>
            <w:r>
              <w:rPr>
                <w:rFonts w:ascii="宋体" w:cs="宋体" w:hint="eastAsia"/>
                <w:sz w:val="22"/>
              </w:rPr>
              <w:t>470 MHz频段内使用模拟无线电设备。</w:t>
            </w:r>
          </w:p>
        </w:tc>
      </w:tr>
      <w:tr>
        <w:trPr>
          <w:trHeight w:val="613"/>
        </w:trPr>
        <w:tc>
          <w:tcPr>
            <w:tcW w:w="1383" w:type="dxa"/>
            <w:vMerge/>
            <w:tcBorders>
              <w:tl2br w:val="nil"/>
              <w:tr2bl w:val="nil"/>
            </w:tcBorders>
            <w:vAlign w:val="center"/>
          </w:tcPr>
          <w:p/>
        </w:tc>
        <w:tc>
          <w:tcPr>
            <w:tcW w:w="659" w:type="dxa"/>
            <w:tcBorders>
              <w:top w:val="single" w:sz="4" w:space="0" w:color="000000"/>
              <w:left w:val="single" w:sz="4" w:space="0" w:color="000000"/>
              <w:right w:val="single" w:sz="4" w:space="0" w:color="000000"/>
            </w:tcBorders>
            <w:vAlign w:val="center"/>
          </w:tcPr>
          <w:p>
            <w:pPr>
              <w:jc w:val="center"/>
              <w:rPr>
                <w:rFonts w:ascii="Times New Roman" w:cs="Times New Roman" w:hAnsi="Times New Roman"/>
                <w:color w:val="000000"/>
                <w:sz w:val="22"/>
                <w:szCs w:val="22"/>
              </w:rPr>
            </w:pPr>
            <w:r>
              <w:rPr>
                <w:rFonts w:ascii="Times New Roman" w:cs="Times New Roman" w:hAnsi="Times New Roman"/>
                <w:color w:val="000000"/>
                <w:sz w:val="22"/>
                <w:szCs w:val="22"/>
              </w:rPr>
              <w:t>20</w:t>
            </w:r>
          </w:p>
        </w:tc>
        <w:tc>
          <w:tcPr>
            <w:tcW w:w="12131" w:type="dxa"/>
            <w:vAlign w:val="center"/>
          </w:tcPr>
          <w:p>
            <w:pPr>
              <w:jc w:val="left"/>
              <w:rPr>
                <w:rFonts w:ascii="宋体" w:cs="宋体" w:hint="eastAsia"/>
                <w:sz w:val="22"/>
              </w:rPr>
            </w:pPr>
            <w:r>
              <w:rPr>
                <w:rFonts w:ascii="宋体" w:cs="宋体" w:hint="eastAsia"/>
                <w:sz w:val="22"/>
              </w:rPr>
              <w:t>人体暴露特定吸收率测量技术要求修订草案</w:t>
            </w:r>
            <w:r>
              <w:rPr>
                <w:rFonts w:ascii="宋体" w:cs="宋体"/>
                <w:sz w:val="22"/>
              </w:rPr>
              <w:t>。</w:t>
            </w:r>
            <w:r>
              <w:rPr>
                <w:rFonts w:ascii="宋体" w:cs="宋体" w:hint="eastAsia"/>
                <w:sz w:val="22"/>
              </w:rPr>
              <w:t>本法规规定了测量人体暴露于手持及贴身佩戴无线通信设备所产生射频场特定吸收率（SAR）的方法。本法规明确了适用法规实施的宽限期。</w:t>
            </w:r>
          </w:p>
        </w:tc>
      </w:tr>
      <w:tr>
        <w:trPr>
          <w:trHeight w:val="925"/>
        </w:trPr>
        <w:tc>
          <w:tcPr>
            <w:tcW w:w="1383" w:type="dxa"/>
            <w:vMerge/>
            <w:tcBorders>
              <w:tl2br w:val="nil"/>
              <w:tr2bl w:val="nil"/>
            </w:tcBorders>
            <w:vAlign w:val="center"/>
          </w:tcPr>
          <w:p/>
        </w:tc>
        <w:tc>
          <w:tcPr>
            <w:tcW w:w="659" w:type="dxa"/>
            <w:tcBorders>
              <w:top w:val="single" w:sz="4" w:space="0" w:color="000000"/>
              <w:left w:val="single" w:sz="4" w:space="0" w:color="000000"/>
              <w:right w:val="single" w:sz="4" w:space="0" w:color="000000"/>
            </w:tcBorders>
            <w:vAlign w:val="center"/>
          </w:tcPr>
          <w:p>
            <w:pPr>
              <w:jc w:val="center"/>
              <w:rPr>
                <w:rFonts w:ascii="Times New Roman" w:cs="Times New Roman" w:hAnsi="Times New Roman"/>
                <w:color w:val="000000"/>
                <w:sz w:val="22"/>
                <w:szCs w:val="22"/>
              </w:rPr>
            </w:pPr>
            <w:r>
              <w:rPr>
                <w:rFonts w:ascii="Times New Roman" w:cs="Times New Roman" w:hAnsi="Times New Roman"/>
                <w:color w:val="000000"/>
                <w:sz w:val="22"/>
                <w:szCs w:val="22"/>
              </w:rPr>
              <w:t>21</w:t>
            </w:r>
          </w:p>
        </w:tc>
        <w:tc>
          <w:tcPr>
            <w:tcW w:w="12131" w:type="dxa"/>
            <w:vAlign w:val="center"/>
          </w:tcPr>
          <w:p>
            <w:pPr>
              <w:jc w:val="left"/>
              <w:rPr>
                <w:rFonts w:ascii="宋体" w:cs="宋体" w:hint="eastAsia"/>
                <w:sz w:val="22"/>
              </w:rPr>
            </w:pPr>
            <w:r>
              <w:rPr>
                <w:rFonts w:ascii="宋体" w:cs="宋体" w:hint="eastAsia"/>
                <w:sz w:val="22"/>
              </w:rPr>
              <w:t>拟修订进口食品安全控制特别法</w:t>
            </w:r>
            <w:r>
              <w:rPr>
                <w:rFonts w:ascii="宋体" w:cs="宋体"/>
                <w:sz w:val="22"/>
              </w:rPr>
              <w:t>。</w:t>
            </w:r>
            <w:r>
              <w:rPr>
                <w:rFonts w:ascii="宋体" w:cs="宋体" w:hint="eastAsia"/>
                <w:sz w:val="22"/>
              </w:rPr>
              <w:t>此次修订是为了明确规定，如果进口商等通过欺诈或其他不正当手段延长外国食品企业的注册，则撤销延长注册有效期和拒绝进口申报。还修订进口保健功能食品和婴幼儿配方食品可追溯性的注册标准，将依据从销售金额改为进口金额。</w:t>
            </w:r>
          </w:p>
        </w:tc>
      </w:tr>
      <w:tr>
        <w:trPr>
          <w:trHeight w:val="1019"/>
        </w:trPr>
        <w:tc>
          <w:tcPr>
            <w:tcW w:w="1383" w:type="dxa"/>
            <w:vMerge w:val="restart"/>
            <w:tcBorders>
              <w:tl2br w:val="nil"/>
              <w:tr2bl w:val="nil"/>
            </w:tcBorders>
            <w:vAlign w:val="center"/>
          </w:tcPr>
          <w:p>
            <w:pPr>
              <w:pStyle w:val="87"/>
              <w:jc w:val="center"/>
              <w:textAlignment w:val="center"/>
              <w:rPr>
                <w:rFonts w:ascii="Times New Roman" w:cs="Times New Roman" w:hAnsi="Times New Roman"/>
                <w:color w:val="000000"/>
                <w:sz w:val="22"/>
                <w:szCs w:val="22"/>
              </w:rPr>
            </w:pPr>
            <w:r>
              <w:rPr>
                <w:rFonts w:ascii="Times New Roman" w:cs="Times New Roman" w:hAnsi="Times New Roman"/>
                <w:color w:val="000000"/>
                <w:sz w:val="22"/>
                <w:szCs w:val="22"/>
              </w:rPr>
              <w:t>加拿大</w:t>
            </w:r>
          </w:p>
        </w:tc>
        <w:tc>
          <w:tcPr>
            <w:tcW w:w="659" w:type="dxa"/>
            <w:tcBorders>
              <w:top w:val="single" w:sz="4" w:space="0" w:color="000000"/>
              <w:left w:val="single" w:sz="4" w:space="0" w:color="000000"/>
              <w:right w:val="single" w:sz="4" w:space="0" w:color="000000"/>
            </w:tcBorders>
            <w:vAlign w:val="center"/>
          </w:tcPr>
          <w:p>
            <w:pPr>
              <w:jc w:val="center"/>
              <w:rPr>
                <w:rFonts w:ascii="Times New Roman" w:cs="Times New Roman" w:hAnsi="Times New Roman"/>
                <w:color w:val="000000"/>
                <w:sz w:val="22"/>
                <w:szCs w:val="22"/>
              </w:rPr>
            </w:pPr>
            <w:r>
              <w:rPr>
                <w:rFonts w:ascii="Times New Roman" w:cs="Times New Roman" w:hAnsi="Times New Roman"/>
                <w:color w:val="000000"/>
                <w:sz w:val="22"/>
                <w:szCs w:val="22"/>
              </w:rPr>
              <w:t>22</w:t>
            </w:r>
          </w:p>
        </w:tc>
        <w:tc>
          <w:tcPr>
            <w:tcW w:w="12131" w:type="dxa"/>
            <w:vAlign w:val="center"/>
          </w:tcPr>
          <w:p>
            <w:pPr>
              <w:jc w:val="left"/>
              <w:rPr>
                <w:rFonts w:ascii="宋体" w:cs="宋体" w:hint="eastAsia"/>
                <w:sz w:val="22"/>
              </w:rPr>
            </w:pPr>
            <w:r>
              <w:rPr>
                <w:rFonts w:ascii="宋体" w:cs="宋体" w:hint="eastAsia"/>
                <w:sz w:val="22"/>
              </w:rPr>
              <w:t>修订前体管制条例（加强监管监督）的条例</w:t>
            </w:r>
            <w:r>
              <w:rPr>
                <w:rFonts w:ascii="宋体" w:cs="宋体"/>
                <w:sz w:val="22"/>
              </w:rPr>
              <w:t>。</w:t>
            </w:r>
            <w:r>
              <w:rPr>
                <w:rFonts w:ascii="宋体" w:cs="宋体" w:hint="eastAsia"/>
                <w:sz w:val="22"/>
              </w:rPr>
              <w:t>修订《受管制药物和物质法》附表九的命令</w:t>
            </w:r>
            <w:r>
              <w:rPr>
                <w:rFonts w:ascii="宋体" w:cs="宋体"/>
                <w:sz w:val="22"/>
              </w:rPr>
              <w:t>。</w:t>
            </w:r>
            <w:r>
              <w:rPr>
                <w:rFonts w:ascii="宋体" w:cs="宋体" w:hint="eastAsia"/>
                <w:sz w:val="22"/>
              </w:rPr>
              <w:t>本次通报的目的是让成员们知道，加拿大卫生部于2025年12月17日公布了《前体控制条例》和《受管制药物和物质法》附表IX的最终修正案。这些修正案将加强对前体化学品和指定设备的监管，并提高加拿大卫生部的监管灵活性和敏捷性。</w:t>
            </w:r>
          </w:p>
        </w:tc>
      </w:tr>
      <w:tr>
        <w:trPr>
          <w:trHeight w:val="2173"/>
        </w:trPr>
        <w:tc>
          <w:tcPr>
            <w:tcW w:w="1383" w:type="dxa"/>
            <w:vMerge/>
            <w:tcBorders>
              <w:tl2br w:val="nil"/>
              <w:tr2bl w:val="nil"/>
            </w:tcBorders>
            <w:vAlign w:val="center"/>
          </w:tcPr>
          <w:p/>
        </w:tc>
        <w:tc>
          <w:tcPr>
            <w:tcW w:w="659" w:type="dxa"/>
            <w:tcBorders>
              <w:top w:val="single" w:sz="4" w:space="0" w:color="000000"/>
              <w:left w:val="single" w:sz="4" w:space="0" w:color="000000"/>
              <w:right w:val="single" w:sz="4" w:space="0" w:color="000000"/>
            </w:tcBorders>
            <w:vAlign w:val="center"/>
          </w:tcPr>
          <w:p>
            <w:pPr>
              <w:jc w:val="center"/>
              <w:rPr>
                <w:rFonts w:ascii="Times New Roman" w:cs="Times New Roman" w:hAnsi="Times New Roman"/>
                <w:color w:val="000000"/>
                <w:sz w:val="22"/>
                <w:szCs w:val="22"/>
              </w:rPr>
            </w:pPr>
            <w:r>
              <w:rPr>
                <w:rFonts w:ascii="Times New Roman" w:cs="Times New Roman" w:hAnsi="Times New Roman"/>
                <w:color w:val="000000"/>
                <w:sz w:val="22"/>
                <w:szCs w:val="22"/>
              </w:rPr>
              <w:t>23</w:t>
            </w:r>
          </w:p>
        </w:tc>
        <w:tc>
          <w:tcPr>
            <w:tcW w:w="12131" w:type="dxa"/>
            <w:vAlign w:val="center"/>
          </w:tcPr>
          <w:p>
            <w:pPr>
              <w:jc w:val="left"/>
              <w:rPr>
                <w:rFonts w:ascii="宋体" w:cs="宋体" w:hint="eastAsia"/>
                <w:sz w:val="22"/>
              </w:rPr>
            </w:pPr>
            <w:r>
              <w:rPr>
                <w:rFonts w:ascii="宋体" w:cs="宋体" w:hint="eastAsia"/>
                <w:sz w:val="22"/>
              </w:rPr>
              <w:t>修改允许使用迷迭香提取物的防腐剂清单的提案</w:t>
            </w:r>
            <w:r>
              <w:rPr>
                <w:rFonts w:ascii="宋体" w:cs="宋体"/>
                <w:sz w:val="22"/>
              </w:rPr>
              <w:t>。</w:t>
            </w:r>
            <w:r>
              <w:rPr>
                <w:rFonts w:ascii="宋体" w:cs="宋体" w:hint="eastAsia"/>
                <w:sz w:val="22"/>
              </w:rPr>
              <w:t>加拿大卫生部完成了对食品添加剂提交的上市前安全性和有效性评估，寻求授权将迷迭香提取物用作抗氧化防腐剂：核仁巧克力饼、饼干和饼干脱水马铃薯产品用脂肪预煮的面条和面食干燥或烘烤的坚果、种子和坚果或种子酱非标准化零食棒</w:t>
            </w:r>
            <w:r>
              <w:rPr>
                <w:rFonts w:ascii="宋体" w:cs="宋体"/>
                <w:sz w:val="22"/>
              </w:rPr>
              <w:t>、</w:t>
            </w:r>
            <w:r>
              <w:rPr>
                <w:rFonts w:ascii="宋体" w:cs="宋体" w:hint="eastAsia"/>
                <w:sz w:val="22"/>
              </w:rPr>
              <w:t>咸味或甜味零食要求的最大使用限量范围为10 ppm至50 ppm，计算为鼠尾草酚和鼠尾草酸的总和。上市前评估结果支持迷迭香提取物用于其要求用途的安全性和有效性。因此，加拿大卫生部拟通过修改允许的防腐剂列表，并在食品添加剂规格表中列出该食品添加剂的规格，如上文参考的信息文件中所述。本文件的目的是公开宣布加拿大卫生部在这方面的意图，并为那些希望提交与该食品添加剂安全性相关的意见、询问或新科学信息的人提供适当的联系信息。</w:t>
            </w:r>
          </w:p>
        </w:tc>
      </w:tr>
      <w:tr>
        <w:trPr>
          <w:trHeight w:val="925"/>
        </w:trPr>
        <w:tc>
          <w:tcPr>
            <w:tcW w:w="1383" w:type="dxa"/>
            <w:vMerge/>
            <w:tcBorders>
              <w:tl2br w:val="nil"/>
              <w:tr2bl w:val="nil"/>
            </w:tcBorders>
            <w:vAlign w:val="center"/>
          </w:tcPr>
          <w:p/>
        </w:tc>
        <w:tc>
          <w:tcPr>
            <w:tcW w:w="659" w:type="dxa"/>
            <w:tcBorders>
              <w:top w:val="single" w:sz="4" w:space="0" w:color="000000"/>
              <w:left w:val="single" w:sz="4" w:space="0" w:color="000000"/>
              <w:right w:val="single" w:sz="4" w:space="0" w:color="000000"/>
            </w:tcBorders>
            <w:vAlign w:val="center"/>
          </w:tcPr>
          <w:p>
            <w:pPr>
              <w:jc w:val="center"/>
              <w:rPr>
                <w:rFonts w:ascii="Times New Roman" w:cs="Times New Roman" w:hAnsi="Times New Roman"/>
                <w:color w:val="000000"/>
                <w:sz w:val="22"/>
                <w:szCs w:val="22"/>
              </w:rPr>
            </w:pPr>
            <w:r>
              <w:rPr>
                <w:rFonts w:ascii="Times New Roman" w:cs="Times New Roman" w:hAnsi="Times New Roman"/>
                <w:color w:val="000000"/>
                <w:sz w:val="22"/>
                <w:szCs w:val="22"/>
              </w:rPr>
              <w:t>24</w:t>
            </w:r>
          </w:p>
        </w:tc>
        <w:tc>
          <w:tcPr>
            <w:tcW w:w="12131" w:type="dxa"/>
            <w:vAlign w:val="center"/>
          </w:tcPr>
          <w:p>
            <w:pPr>
              <w:jc w:val="left"/>
              <w:rPr>
                <w:rFonts w:ascii="宋体" w:cs="宋体" w:hint="eastAsia"/>
                <w:sz w:val="22"/>
              </w:rPr>
            </w:pPr>
            <w:r>
              <w:rPr>
                <w:rFonts w:ascii="宋体" w:cs="宋体" w:hint="eastAsia"/>
                <w:sz w:val="22"/>
              </w:rPr>
              <w:t>关于RSS-288的咨询第2期</w:t>
            </w:r>
            <w:r>
              <w:rPr>
                <w:rFonts w:ascii="宋体" w:cs="宋体"/>
                <w:sz w:val="22"/>
              </w:rPr>
              <w:t>。</w:t>
            </w:r>
            <w:r>
              <w:rPr>
                <w:rFonts w:ascii="宋体" w:cs="宋体" w:hint="eastAsia"/>
                <w:sz w:val="22"/>
              </w:rPr>
              <w:t>加拿大创新、科学和经济发展部特此发布通知，修订了以下标准：RSS-288第2期“全球海上遇险和安全系统”，规定了符合全球海上遇险和安全系统在中频、高频和9.2-9.5 GHz频段要求的船载无线电通信设备的认证要求。</w:t>
            </w:r>
          </w:p>
        </w:tc>
      </w:tr>
      <w:tr>
        <w:trPr>
          <w:trHeight w:val="1983"/>
        </w:trPr>
        <w:tc>
          <w:tcPr>
            <w:tcW w:w="1383" w:type="dxa"/>
            <w:vMerge w:val="restart"/>
            <w:tcBorders>
              <w:tl2br w:val="nil"/>
              <w:tr2bl w:val="nil"/>
            </w:tcBorders>
            <w:vAlign w:val="center"/>
          </w:tcPr>
          <w:p>
            <w:pPr>
              <w:jc w:val="center"/>
              <w:textAlignment w:val="center"/>
              <w:rPr>
                <w:rFonts w:ascii="Times New Roman" w:cs="Times New Roman" w:hAnsi="Times New Roman"/>
                <w:color w:val="000000"/>
                <w:sz w:val="22"/>
                <w:szCs w:val="22"/>
              </w:rPr>
            </w:pPr>
            <w:r>
              <w:rPr>
                <w:rFonts w:ascii="Times New Roman" w:cs="Times New Roman" w:hAnsi="Times New Roman"/>
                <w:color w:val="000000"/>
                <w:sz w:val="22"/>
                <w:szCs w:val="22"/>
              </w:rPr>
              <w:t>捷克共和国</w:t>
            </w:r>
          </w:p>
        </w:tc>
        <w:tc>
          <w:tcPr>
            <w:tcW w:w="659" w:type="dxa"/>
            <w:tcBorders>
              <w:top w:val="single" w:sz="4" w:space="0" w:color="000000"/>
              <w:left w:val="single" w:sz="4" w:space="0" w:color="000000"/>
              <w:right w:val="single" w:sz="4" w:space="0" w:color="000000"/>
            </w:tcBorders>
            <w:vAlign w:val="center"/>
          </w:tcPr>
          <w:p>
            <w:pPr>
              <w:jc w:val="center"/>
              <w:rPr>
                <w:rFonts w:ascii="Times New Roman" w:cs="Times New Roman" w:hAnsi="Times New Roman"/>
                <w:color w:val="000000"/>
                <w:sz w:val="22"/>
                <w:szCs w:val="22"/>
              </w:rPr>
            </w:pPr>
            <w:r>
              <w:rPr>
                <w:rFonts w:ascii="Times New Roman" w:cs="Times New Roman" w:hAnsi="Times New Roman"/>
                <w:color w:val="000000"/>
                <w:sz w:val="22"/>
                <w:szCs w:val="22"/>
              </w:rPr>
              <w:t>25</w:t>
            </w:r>
          </w:p>
        </w:tc>
        <w:tc>
          <w:tcPr>
            <w:tcW w:w="12131" w:type="dxa"/>
            <w:vAlign w:val="center"/>
          </w:tcPr>
          <w:p>
            <w:pPr>
              <w:jc w:val="left"/>
              <w:rPr>
                <w:rFonts w:ascii="宋体" w:cs="宋体" w:hint="eastAsia"/>
                <w:sz w:val="22"/>
              </w:rPr>
            </w:pPr>
            <w:r>
              <w:rPr>
                <w:rFonts w:ascii="宋体" w:cs="宋体" w:hint="eastAsia"/>
                <w:sz w:val="22"/>
              </w:rPr>
              <w:t>修订关于核领域选定物项的第375/2016号法令的法令草案</w:t>
            </w:r>
            <w:r>
              <w:rPr>
                <w:rFonts w:ascii="宋体" w:cs="宋体"/>
                <w:sz w:val="22"/>
              </w:rPr>
              <w:t>。</w:t>
            </w:r>
            <w:r>
              <w:rPr>
                <w:rFonts w:ascii="宋体" w:cs="宋体" w:hint="eastAsia"/>
                <w:sz w:val="22"/>
              </w:rPr>
              <w:t>修订关于核领域选定物项的第375/2016号执行法令的执行法令草案与第83/2025号《原子法》修正案一起提交。该法令草案总体上回应了《不扩散核武器法》修正案在不扩散核武器领域带来的变化，特别是更严格地规定了与核材料和选定物项有关的活动的报告以及核物项的转让。该法令的修正案草案仅提议对该法令的原文进行极小的个别修改。它更详细地规定和澄清了核区内选定物品的具体类型移动清单。拟议修正案的另一个目标是使核领域选定物项清单符合捷克共和国是其成员的国际核供应国集团内通过的国际标准的最新版本。这些标准（核供应国集团准则）是核不扩散领域的重要实用工具，考虑了最新知识。</w:t>
            </w:r>
          </w:p>
        </w:tc>
      </w:tr>
      <w:tr>
        <w:trPr>
          <w:trHeight w:val="301"/>
        </w:trPr>
        <w:tc>
          <w:tcPr>
            <w:tcW w:w="1383" w:type="dxa"/>
            <w:vMerge/>
            <w:tcBorders>
              <w:tl2br w:val="nil"/>
              <w:tr2bl w:val="nil"/>
            </w:tcBorders>
            <w:vAlign w:val="center"/>
          </w:tcPr>
          <w:p/>
        </w:tc>
        <w:tc>
          <w:tcPr>
            <w:tcW w:w="659" w:type="dxa"/>
            <w:tcBorders>
              <w:top w:val="single" w:sz="4" w:space="0" w:color="000000"/>
              <w:left w:val="single" w:sz="4" w:space="0" w:color="000000"/>
              <w:right w:val="single" w:sz="4" w:space="0" w:color="000000"/>
            </w:tcBorders>
            <w:vAlign w:val="center"/>
          </w:tcPr>
          <w:p>
            <w:pPr>
              <w:jc w:val="center"/>
              <w:rPr>
                <w:rFonts w:ascii="Times New Roman" w:cs="Times New Roman" w:hAnsi="Times New Roman"/>
                <w:color w:val="000000"/>
                <w:sz w:val="22"/>
                <w:szCs w:val="22"/>
              </w:rPr>
            </w:pPr>
            <w:r>
              <w:rPr>
                <w:rFonts w:ascii="Times New Roman" w:cs="Times New Roman" w:hAnsi="Times New Roman"/>
                <w:color w:val="000000"/>
                <w:sz w:val="22"/>
                <w:szCs w:val="22"/>
              </w:rPr>
              <w:t>26</w:t>
            </w:r>
          </w:p>
        </w:tc>
        <w:tc>
          <w:tcPr>
            <w:tcW w:w="12131" w:type="dxa"/>
            <w:vAlign w:val="center"/>
          </w:tcPr>
          <w:p>
            <w:pPr>
              <w:jc w:val="left"/>
              <w:rPr>
                <w:rFonts w:ascii="宋体" w:cs="宋体" w:hint="eastAsia"/>
                <w:sz w:val="22"/>
              </w:rPr>
            </w:pPr>
            <w:r>
              <w:rPr>
                <w:rFonts w:ascii="宋体" w:cs="宋体" w:hint="eastAsia"/>
                <w:sz w:val="22"/>
              </w:rPr>
              <w:t>关于修订核领域两用物项第376/2016号法令的法令</w:t>
            </w:r>
            <w:r>
              <w:rPr>
                <w:rFonts w:ascii="宋体" w:cs="宋体"/>
                <w:sz w:val="22"/>
              </w:rPr>
              <w:t>。</w:t>
            </w:r>
            <w:r>
              <w:rPr>
                <w:rFonts w:ascii="宋体" w:cs="宋体" w:hint="eastAsia"/>
                <w:sz w:val="22"/>
              </w:rPr>
              <w:t>本法令草案总体上是为响应《原子能法修正案》（第83/2025号法案）在核武器不扩散领域引入的变更，特别是对核材料及相关活动报告、特定物项以及核物项转移的规定进行了更明确的具体化。</w:t>
            </w:r>
          </w:p>
        </w:tc>
      </w:tr>
      <w:tr>
        <w:trPr>
          <w:trHeight w:val="301"/>
        </w:trPr>
        <w:tc>
          <w:tcPr>
            <w:tcW w:w="1383" w:type="dxa"/>
            <w:tcBorders>
              <w:tl2br w:val="nil"/>
              <w:tr2bl w:val="nil"/>
            </w:tcBorders>
            <w:vAlign w:val="center"/>
          </w:tcPr>
          <w:p>
            <w:pPr>
              <w:jc w:val="center"/>
            </w:pPr>
            <w:r>
              <w:t>科威特</w:t>
            </w:r>
          </w:p>
        </w:tc>
        <w:tc>
          <w:tcPr>
            <w:tcW w:w="659" w:type="dxa"/>
            <w:tcBorders>
              <w:top w:val="single" w:sz="4" w:space="0" w:color="000000"/>
              <w:left w:val="single" w:sz="4" w:space="0" w:color="000000"/>
              <w:right w:val="single" w:sz="4" w:space="0" w:color="000000"/>
            </w:tcBorders>
            <w:vAlign w:val="center"/>
          </w:tcPr>
          <w:p>
            <w:pPr>
              <w:jc w:val="center"/>
              <w:rPr>
                <w:rFonts w:ascii="Times New Roman" w:cs="Times New Roman" w:hAnsi="Times New Roman"/>
                <w:color w:val="000000"/>
                <w:sz w:val="22"/>
                <w:szCs w:val="22"/>
              </w:rPr>
            </w:pPr>
            <w:r>
              <w:rPr>
                <w:rFonts w:ascii="Times New Roman" w:cs="Times New Roman" w:hAnsi="Times New Roman"/>
                <w:color w:val="000000"/>
                <w:sz w:val="22"/>
                <w:szCs w:val="22"/>
              </w:rPr>
              <w:t>27</w:t>
            </w:r>
          </w:p>
        </w:tc>
        <w:tc>
          <w:tcPr>
            <w:tcW w:w="12131" w:type="dxa"/>
            <w:vAlign w:val="center"/>
          </w:tcPr>
          <w:p>
            <w:pPr>
              <w:rPr>
                <w:rFonts w:ascii="宋体" w:eastAsia="宋体" w:cs="宋体"/>
                <w:sz w:val="22"/>
              </w:rPr>
            </w:pPr>
            <w:r>
              <w:rPr>
                <w:rFonts w:ascii="宋体" w:cs="宋体"/>
                <w:sz w:val="22"/>
              </w:rPr>
              <w:t>生物降解塑料袋技术规程。本法规规定了以下内容：术语和定义、范围、目标、供应商义务、标签、合格评定程序、监管机构的职责、市场调查机构的职责、违规和处罚、一般规则、过渡规则、附录（列表、类型）。</w:t>
            </w:r>
          </w:p>
        </w:tc>
      </w:tr>
      <w:tr>
        <w:trPr>
          <w:trHeight w:val="925"/>
        </w:trPr>
        <w:tc>
          <w:tcPr>
            <w:tcW w:w="1383" w:type="dxa"/>
            <w:vMerge w:val="restart"/>
            <w:vAlign w:val="center"/>
          </w:tcPr>
          <w:p>
            <w:pPr>
              <w:pStyle w:val="93"/>
              <w:jc w:val="center"/>
            </w:pPr>
            <w:r>
              <w:t>肯尼亚</w:t>
            </w:r>
          </w:p>
        </w:tc>
        <w:tc>
          <w:tcPr>
            <w:tcW w:w="659" w:type="dxa"/>
            <w:tcBorders>
              <w:top w:val="single" w:sz="4" w:space="0" w:color="000000"/>
              <w:left w:val="single" w:sz="4" w:space="0" w:color="000000"/>
              <w:right w:val="single" w:sz="4" w:space="0" w:color="000000"/>
            </w:tcBorders>
            <w:vAlign w:val="center"/>
          </w:tcPr>
          <w:p>
            <w:pPr>
              <w:jc w:val="center"/>
              <w:rPr>
                <w:rFonts w:ascii="Times New Roman" w:cs="Times New Roman" w:hAnsi="Times New Roman"/>
                <w:color w:val="000000"/>
                <w:sz w:val="22"/>
                <w:szCs w:val="22"/>
              </w:rPr>
            </w:pPr>
            <w:r>
              <w:rPr>
                <w:rFonts w:ascii="Times New Roman" w:cs="Times New Roman" w:hAnsi="Times New Roman"/>
                <w:color w:val="000000"/>
                <w:sz w:val="22"/>
                <w:szCs w:val="22"/>
              </w:rPr>
              <w:t>28</w:t>
            </w:r>
          </w:p>
        </w:tc>
        <w:tc>
          <w:tcPr>
            <w:tcW w:w="12131" w:type="dxa"/>
            <w:vAlign w:val="center"/>
          </w:tcPr>
          <w:p>
            <w:pPr>
              <w:pStyle w:val="89"/>
              <w:jc w:val="left"/>
              <w:rPr>
                <w:rFonts w:ascii="宋体" w:cs="宋体"/>
                <w:sz w:val="22"/>
              </w:rPr>
            </w:pPr>
            <w:r>
              <w:rPr>
                <w:rFonts w:ascii="宋体" w:cs="宋体"/>
                <w:sz w:val="22"/>
              </w:rPr>
              <w:t>2023年标准（进口货物集运）条例。这些条例的目的是使该法第14 C节生效；（“法案”指《标准法案》（第496章））为货物合并和进口提供统一的方法；为中小贸易商高效开展进口业务提供便利。条例的目的。本条例适用于空运和海运进口到肯尼亚的合并货物；以及从事合并业务的人员。</w:t>
            </w:r>
          </w:p>
        </w:tc>
      </w:tr>
      <w:tr>
        <w:trPr>
          <w:trHeight w:val="480"/>
        </w:trPr>
        <w:tc>
          <w:tcPr>
            <w:tcW w:w="1383" w:type="dxa"/>
            <w:vMerge/>
            <w:vAlign w:val="center"/>
          </w:tcPr>
          <w:p/>
        </w:tc>
        <w:tc>
          <w:tcPr>
            <w:tcW w:w="659" w:type="dxa"/>
            <w:tcBorders>
              <w:top w:val="single" w:sz="4" w:space="0" w:color="000000"/>
              <w:left w:val="single" w:sz="4" w:space="0" w:color="000000"/>
              <w:right w:val="single" w:sz="4" w:space="0" w:color="000000"/>
            </w:tcBorders>
            <w:vAlign w:val="center"/>
          </w:tcPr>
          <w:p>
            <w:pPr>
              <w:jc w:val="center"/>
              <w:rPr>
                <w:rFonts w:ascii="Times New Roman" w:cs="Times New Roman" w:hAnsi="Times New Roman"/>
                <w:color w:val="000000"/>
                <w:sz w:val="22"/>
                <w:szCs w:val="22"/>
              </w:rPr>
            </w:pPr>
            <w:r>
              <w:rPr>
                <w:rFonts w:ascii="Times New Roman" w:cs="Times New Roman" w:hAnsi="Times New Roman"/>
                <w:color w:val="000000"/>
                <w:sz w:val="22"/>
                <w:szCs w:val="22"/>
              </w:rPr>
              <w:t>29</w:t>
            </w:r>
          </w:p>
        </w:tc>
        <w:tc>
          <w:tcPr>
            <w:tcW w:w="12131" w:type="dxa"/>
            <w:vAlign w:val="center"/>
          </w:tcPr>
          <w:p>
            <w:pPr>
              <w:pStyle w:val="90"/>
              <w:jc w:val="left"/>
              <w:rPr>
                <w:rFonts w:ascii="宋体" w:cs="宋体"/>
                <w:sz w:val="22"/>
              </w:rPr>
            </w:pPr>
            <w:r>
              <w:rPr>
                <w:rFonts w:ascii="宋体" w:cs="宋体"/>
                <w:sz w:val="22"/>
              </w:rPr>
              <w:t>DKS 1652：2025商业渔船卫生规范行为规范。该标准草案规定了工厂船和其他商业渔船（承运人）的设计、建造和操作的某些方面的一般卫生原则。</w:t>
            </w:r>
          </w:p>
        </w:tc>
      </w:tr>
      <w:tr>
        <w:trPr>
          <w:trHeight w:val="613"/>
        </w:trPr>
        <w:tc>
          <w:tcPr>
            <w:tcW w:w="1383" w:type="dxa"/>
            <w:vMerge/>
            <w:vAlign w:val="center"/>
          </w:tcPr>
          <w:p/>
        </w:tc>
        <w:tc>
          <w:tcPr>
            <w:tcW w:w="659" w:type="dxa"/>
            <w:tcBorders>
              <w:top w:val="single" w:sz="4" w:space="0" w:color="000000"/>
              <w:left w:val="single" w:sz="4" w:space="0" w:color="000000"/>
              <w:right w:val="single" w:sz="4" w:space="0" w:color="000000"/>
            </w:tcBorders>
            <w:vAlign w:val="center"/>
          </w:tcPr>
          <w:p>
            <w:pPr>
              <w:jc w:val="center"/>
              <w:rPr>
                <w:rFonts w:ascii="Times New Roman" w:cs="Times New Roman" w:hAnsi="Times New Roman"/>
                <w:color w:val="000000"/>
                <w:sz w:val="22"/>
                <w:szCs w:val="22"/>
              </w:rPr>
            </w:pPr>
            <w:r>
              <w:rPr>
                <w:rFonts w:ascii="Times New Roman" w:cs="Times New Roman" w:hAnsi="Times New Roman"/>
                <w:color w:val="000000"/>
                <w:sz w:val="22"/>
                <w:szCs w:val="22"/>
              </w:rPr>
              <w:t>30</w:t>
            </w:r>
          </w:p>
        </w:tc>
        <w:tc>
          <w:tcPr>
            <w:tcW w:w="12131" w:type="dxa"/>
            <w:vAlign w:val="center"/>
          </w:tcPr>
          <w:p>
            <w:pPr>
              <w:pStyle w:val="91"/>
              <w:jc w:val="left"/>
              <w:rPr>
                <w:rFonts w:ascii="宋体" w:cs="宋体"/>
                <w:sz w:val="22"/>
              </w:rPr>
            </w:pPr>
            <w:r>
              <w:rPr>
                <w:rFonts w:ascii="宋体" w:cs="宋体"/>
                <w:sz w:val="22"/>
              </w:rPr>
              <w:t>2025年《标准（有条件放行和拒绝进口的处理）条例》。本法规适用于进口到肯尼亚并由该局检验的产品。“局”是指根据《标准法》第3节设立的肯尼亚标准局。</w:t>
            </w:r>
          </w:p>
        </w:tc>
      </w:tr>
      <w:tr>
        <w:trPr>
          <w:trHeight w:val="613"/>
        </w:trPr>
        <w:tc>
          <w:tcPr>
            <w:tcW w:w="1383" w:type="dxa"/>
            <w:vMerge/>
            <w:vAlign w:val="center"/>
          </w:tcPr>
          <w:p/>
        </w:tc>
        <w:tc>
          <w:tcPr>
            <w:tcW w:w="659" w:type="dxa"/>
            <w:tcBorders>
              <w:top w:val="single" w:sz="4" w:space="0" w:color="000000"/>
              <w:left w:val="single" w:sz="4" w:space="0" w:color="000000"/>
              <w:right w:val="single" w:sz="4" w:space="0" w:color="000000"/>
            </w:tcBorders>
            <w:vAlign w:val="center"/>
          </w:tcPr>
          <w:p>
            <w:pPr>
              <w:jc w:val="center"/>
              <w:rPr>
                <w:rFonts w:ascii="Times New Roman" w:cs="Times New Roman" w:hAnsi="Times New Roman"/>
                <w:color w:val="000000"/>
                <w:sz w:val="22"/>
                <w:szCs w:val="22"/>
              </w:rPr>
            </w:pPr>
            <w:r>
              <w:rPr>
                <w:rFonts w:ascii="Times New Roman" w:cs="Times New Roman" w:hAnsi="Times New Roman"/>
                <w:color w:val="000000"/>
                <w:sz w:val="22"/>
                <w:szCs w:val="22"/>
              </w:rPr>
              <w:t>31</w:t>
            </w:r>
          </w:p>
        </w:tc>
        <w:tc>
          <w:tcPr>
            <w:tcW w:w="12131" w:type="dxa"/>
            <w:vAlign w:val="center"/>
          </w:tcPr>
          <w:p>
            <w:pPr>
              <w:pStyle w:val="92"/>
              <w:jc w:val="left"/>
              <w:rPr>
                <w:rFonts w:ascii="宋体" w:cs="宋体"/>
                <w:sz w:val="22"/>
              </w:rPr>
            </w:pPr>
            <w:r>
              <w:rPr>
                <w:rFonts w:ascii="宋体" w:cs="宋体"/>
                <w:sz w:val="22"/>
              </w:rPr>
              <w:t>DKS 3045：2025塑料封闭件-规范。该肯尼亚标准草案涵盖了塑料封口的几何和尺寸精度、物理特性、储存和处理条件以及应用。</w:t>
            </w:r>
          </w:p>
        </w:tc>
      </w:tr>
      <w:tr>
        <w:trPr>
          <w:trHeight w:val="613"/>
        </w:trPr>
        <w:tc>
          <w:tcPr>
            <w:tcW w:w="1383" w:type="dxa"/>
            <w:tcBorders>
              <w:tl2br w:val="nil"/>
              <w:tr2bl w:val="nil"/>
            </w:tcBorders>
            <w:vAlign w:val="center"/>
          </w:tcPr>
          <w:p>
            <w:pPr>
              <w:pStyle w:val="88"/>
              <w:jc w:val="center"/>
            </w:pPr>
            <w:r>
              <w:t>立陶宛</w:t>
            </w:r>
          </w:p>
        </w:tc>
        <w:tc>
          <w:tcPr>
            <w:tcW w:w="659" w:type="dxa"/>
            <w:tcBorders>
              <w:top w:val="single" w:sz="4" w:space="0" w:color="000000"/>
              <w:left w:val="single" w:sz="4" w:space="0" w:color="000000"/>
              <w:right w:val="single" w:sz="4" w:space="0" w:color="000000"/>
            </w:tcBorders>
            <w:vAlign w:val="center"/>
          </w:tcPr>
          <w:p>
            <w:pPr>
              <w:jc w:val="center"/>
              <w:rPr>
                <w:rFonts w:ascii="Times New Roman" w:cs="Times New Roman" w:hAnsi="Times New Roman"/>
                <w:color w:val="000000"/>
                <w:sz w:val="22"/>
                <w:szCs w:val="22"/>
              </w:rPr>
            </w:pPr>
            <w:r>
              <w:rPr>
                <w:rFonts w:ascii="Times New Roman" w:cs="Times New Roman" w:hAnsi="Times New Roman"/>
                <w:color w:val="000000"/>
                <w:sz w:val="22"/>
                <w:szCs w:val="22"/>
              </w:rPr>
              <w:t>32</w:t>
            </w:r>
          </w:p>
        </w:tc>
        <w:tc>
          <w:tcPr>
            <w:tcW w:w="12131" w:type="dxa"/>
            <w:vAlign w:val="center"/>
          </w:tcPr>
          <w:p>
            <w:pPr>
              <w:jc w:val="left"/>
              <w:rPr>
                <w:rFonts w:ascii="宋体" w:cs="宋体"/>
                <w:sz w:val="22"/>
              </w:rPr>
            </w:pPr>
            <w:r>
              <w:rPr>
                <w:rFonts w:ascii="宋体" w:cs="宋体"/>
                <w:sz w:val="22"/>
              </w:rPr>
              <w:t>立陶宛共和国烟草、烟草制品和相关产品管制法草案。该法律草案要求在相关烟草产品包装、电子烟传单和零售区域展示国家戒烟热线（以下简称戒烟热线）的联系方式。它还澄清了评估通过EU-CEG门户网站提交的烟草产品通知的行政程序，介绍了这些服务的国家费用，并为评估和市场投放设定了标准化的时间表。总体而言，目标是扩大免费戒烟支持服务的知名度和使用，提高公众对可用援助的认识，并加强监管。通过改善获得这些服务的机会，拟议的措施有望提高戒烟努力的有效性，并有助于减少尼古丁依赖，以及与烟草使用相关的更广泛的健康、社会和经济危害。</w:t>
            </w:r>
          </w:p>
        </w:tc>
      </w:tr>
      <w:tr>
        <w:trPr>
          <w:trHeight w:val="406"/>
        </w:trPr>
        <w:tc>
          <w:tcPr>
            <w:tcW w:w="1383" w:type="dxa"/>
            <w:vMerge w:val="restart"/>
            <w:tcBorders>
              <w:tl2br w:val="nil"/>
              <w:tr2bl w:val="nil"/>
            </w:tcBorders>
            <w:vAlign w:val="center"/>
          </w:tcPr>
          <w:p>
            <w:pPr>
              <w:pStyle w:val="94"/>
              <w:jc w:val="center"/>
            </w:pPr>
            <w:r>
              <w:t>卢旺达</w:t>
            </w:r>
          </w:p>
        </w:tc>
        <w:tc>
          <w:tcPr>
            <w:tcW w:w="659" w:type="dxa"/>
            <w:tcBorders>
              <w:top w:val="single" w:sz="4" w:space="0" w:color="000000"/>
              <w:left w:val="single" w:sz="4" w:space="0" w:color="000000"/>
              <w:right w:val="single" w:sz="4" w:space="0" w:color="000000"/>
            </w:tcBorders>
            <w:vAlign w:val="center"/>
          </w:tcPr>
          <w:p>
            <w:pPr>
              <w:jc w:val="center"/>
              <w:rPr>
                <w:rFonts w:ascii="Times New Roman" w:cs="Times New Roman" w:hAnsi="Times New Roman"/>
                <w:color w:val="000000"/>
                <w:sz w:val="22"/>
                <w:szCs w:val="22"/>
              </w:rPr>
            </w:pPr>
            <w:r>
              <w:rPr>
                <w:rFonts w:ascii="Times New Roman" w:cs="Times New Roman" w:hAnsi="Times New Roman"/>
                <w:color w:val="000000"/>
                <w:sz w:val="22"/>
                <w:szCs w:val="22"/>
              </w:rPr>
              <w:t>33</w:t>
            </w:r>
          </w:p>
        </w:tc>
        <w:tc>
          <w:tcPr>
            <w:tcW w:w="12131" w:type="dxa"/>
            <w:vAlign w:val="center"/>
          </w:tcPr>
          <w:p>
            <w:pPr>
              <w:pStyle w:val="62"/>
              <w:jc w:val="left"/>
              <w:rPr>
                <w:rFonts w:ascii="宋体" w:cs="宋体"/>
                <w:sz w:val="22"/>
              </w:rPr>
            </w:pPr>
            <w:r>
              <w:rPr>
                <w:rFonts w:ascii="宋体" w:cs="宋体"/>
                <w:sz w:val="22"/>
              </w:rPr>
              <w:t>DEAS 859：2025，纸袋规范，第二版。本标准草案规定了主要用于包装和/或携带物品的纸袋的要求、取样和测试方法。</w:t>
            </w:r>
          </w:p>
        </w:tc>
      </w:tr>
      <w:tr>
        <w:trPr>
          <w:trHeight w:val="301"/>
        </w:trPr>
        <w:tc>
          <w:tcPr>
            <w:tcW w:w="1383" w:type="dxa"/>
            <w:vMerge/>
            <w:tcBorders>
              <w:tl2br w:val="nil"/>
              <w:tr2bl w:val="nil"/>
            </w:tcBorders>
            <w:vAlign w:val="center"/>
          </w:tcPr>
          <w:p/>
        </w:tc>
        <w:tc>
          <w:tcPr>
            <w:tcW w:w="659" w:type="dxa"/>
            <w:tcBorders>
              <w:top w:val="single" w:sz="4" w:space="0" w:color="000000"/>
              <w:left w:val="single" w:sz="4" w:space="0" w:color="000000"/>
              <w:right w:val="single" w:sz="4" w:space="0" w:color="000000"/>
            </w:tcBorders>
            <w:vAlign w:val="center"/>
          </w:tcPr>
          <w:p>
            <w:pPr>
              <w:jc w:val="center"/>
              <w:rPr>
                <w:rFonts w:ascii="Times New Roman" w:cs="Times New Roman" w:hAnsi="Times New Roman"/>
                <w:color w:val="000000"/>
                <w:sz w:val="22"/>
                <w:szCs w:val="22"/>
              </w:rPr>
            </w:pPr>
            <w:r>
              <w:rPr>
                <w:rFonts w:ascii="Times New Roman" w:cs="Times New Roman" w:hAnsi="Times New Roman"/>
                <w:color w:val="000000"/>
                <w:sz w:val="22"/>
                <w:szCs w:val="22"/>
              </w:rPr>
              <w:t>34</w:t>
            </w:r>
          </w:p>
        </w:tc>
        <w:tc>
          <w:tcPr>
            <w:tcW w:w="12131" w:type="dxa"/>
            <w:vAlign w:val="center"/>
          </w:tcPr>
          <w:p>
            <w:pPr>
              <w:pStyle w:val="63"/>
              <w:jc w:val="left"/>
              <w:rPr>
                <w:rFonts w:ascii="宋体" w:cs="宋体"/>
                <w:sz w:val="22"/>
              </w:rPr>
            </w:pPr>
            <w:r>
              <w:rPr>
                <w:rFonts w:ascii="宋体" w:cs="宋体"/>
                <w:sz w:val="22"/>
              </w:rPr>
              <w:t>DRS 621：2025，比萨饼规范。该标准草案规定了供人食用的比萨饼的要求、取样和测试方法。</w:t>
            </w:r>
          </w:p>
        </w:tc>
      </w:tr>
      <w:tr>
        <w:trPr>
          <w:trHeight w:val="582"/>
        </w:trPr>
        <w:tc>
          <w:tcPr>
            <w:tcW w:w="1383" w:type="dxa"/>
            <w:vMerge/>
            <w:tcBorders>
              <w:tl2br w:val="nil"/>
              <w:tr2bl w:val="nil"/>
            </w:tcBorders>
            <w:vAlign w:val="center"/>
          </w:tcPr>
          <w:p/>
        </w:tc>
        <w:tc>
          <w:tcPr>
            <w:tcW w:w="659" w:type="dxa"/>
            <w:tcBorders>
              <w:top w:val="single" w:sz="4" w:space="0" w:color="000000"/>
              <w:left w:val="single" w:sz="4" w:space="0" w:color="000000"/>
              <w:right w:val="single" w:sz="4" w:space="0" w:color="000000"/>
            </w:tcBorders>
            <w:vAlign w:val="center"/>
          </w:tcPr>
          <w:p>
            <w:pPr>
              <w:jc w:val="center"/>
              <w:rPr>
                <w:rFonts w:ascii="Times New Roman" w:cs="Times New Roman" w:hAnsi="Times New Roman"/>
                <w:color w:val="000000"/>
                <w:sz w:val="22"/>
                <w:szCs w:val="22"/>
              </w:rPr>
            </w:pPr>
            <w:r>
              <w:rPr>
                <w:rFonts w:ascii="Times New Roman" w:cs="Times New Roman" w:hAnsi="Times New Roman"/>
                <w:color w:val="000000"/>
                <w:sz w:val="22"/>
                <w:szCs w:val="22"/>
              </w:rPr>
              <w:t>35</w:t>
            </w:r>
          </w:p>
        </w:tc>
        <w:tc>
          <w:tcPr>
            <w:tcW w:w="12131" w:type="dxa"/>
            <w:vAlign w:val="center"/>
          </w:tcPr>
          <w:p>
            <w:pPr>
              <w:jc w:val="left"/>
              <w:rPr>
                <w:rFonts w:ascii="宋体" w:cs="宋体"/>
                <w:sz w:val="22"/>
              </w:rPr>
            </w:pPr>
            <w:r>
              <w:rPr>
                <w:rFonts w:ascii="宋体" w:cs="宋体"/>
                <w:sz w:val="22"/>
              </w:rPr>
              <w:t>DRS 622：2025，家禽运输实施规范。该工作草案为家禽从孵化场运输到农场，以及从其生活区运输到其他住宿或屠宰设施提供了指导。</w:t>
            </w:r>
          </w:p>
        </w:tc>
      </w:tr>
      <w:tr>
        <w:trPr>
          <w:trHeight w:val="496"/>
        </w:trPr>
        <w:tc>
          <w:tcPr>
            <w:tcW w:w="1383" w:type="dxa"/>
            <w:vMerge/>
            <w:tcBorders>
              <w:tl2br w:val="nil"/>
              <w:tr2bl w:val="nil"/>
            </w:tcBorders>
            <w:vAlign w:val="center"/>
          </w:tcPr>
          <w:p/>
        </w:tc>
        <w:tc>
          <w:tcPr>
            <w:tcW w:w="659" w:type="dxa"/>
            <w:tcBorders>
              <w:top w:val="single" w:sz="4" w:space="0" w:color="000000"/>
              <w:left w:val="single" w:sz="4" w:space="0" w:color="000000"/>
              <w:right w:val="single" w:sz="4" w:space="0" w:color="000000"/>
            </w:tcBorders>
            <w:vAlign w:val="center"/>
          </w:tcPr>
          <w:p>
            <w:pPr>
              <w:jc w:val="center"/>
              <w:rPr>
                <w:rFonts w:ascii="Times New Roman" w:cs="Times New Roman" w:hAnsi="Times New Roman"/>
                <w:color w:val="000000"/>
                <w:sz w:val="22"/>
                <w:szCs w:val="22"/>
              </w:rPr>
            </w:pPr>
            <w:r>
              <w:rPr>
                <w:rFonts w:ascii="Times New Roman" w:cs="Times New Roman" w:hAnsi="Times New Roman"/>
                <w:color w:val="000000"/>
                <w:sz w:val="22"/>
                <w:szCs w:val="22"/>
              </w:rPr>
              <w:t>36</w:t>
            </w:r>
          </w:p>
        </w:tc>
        <w:tc>
          <w:tcPr>
            <w:tcW w:w="12131" w:type="dxa"/>
            <w:vAlign w:val="center"/>
          </w:tcPr>
          <w:p>
            <w:pPr>
              <w:jc w:val="left"/>
              <w:rPr>
                <w:rFonts w:ascii="宋体" w:cs="宋体"/>
                <w:sz w:val="22"/>
              </w:rPr>
            </w:pPr>
            <w:r>
              <w:rPr>
                <w:rFonts w:ascii="宋体" w:cs="宋体"/>
                <w:sz w:val="22"/>
              </w:rPr>
              <w:t>DRS 623：2025，甘薯根的生产和处理实施规范。该标准草案提供了供人食用的甘薯根的生产、储存、包装和运输的推荐做法。</w:t>
            </w:r>
          </w:p>
        </w:tc>
      </w:tr>
      <w:tr>
        <w:trPr>
          <w:trHeight w:val="221"/>
        </w:trPr>
        <w:tc>
          <w:tcPr>
            <w:tcW w:w="1383" w:type="dxa"/>
            <w:vMerge/>
            <w:tcBorders>
              <w:tl2br w:val="nil"/>
              <w:tr2bl w:val="nil"/>
            </w:tcBorders>
            <w:vAlign w:val="center"/>
          </w:tcPr>
          <w:p/>
        </w:tc>
        <w:tc>
          <w:tcPr>
            <w:tcW w:w="659" w:type="dxa"/>
            <w:tcBorders>
              <w:top w:val="single" w:sz="4" w:space="0" w:color="000000"/>
              <w:left w:val="single" w:sz="4" w:space="0" w:color="000000"/>
              <w:right w:val="single" w:sz="4" w:space="0" w:color="000000"/>
            </w:tcBorders>
            <w:vAlign w:val="center"/>
          </w:tcPr>
          <w:p>
            <w:pPr>
              <w:jc w:val="center"/>
              <w:rPr>
                <w:rFonts w:ascii="Times New Roman" w:cs="Times New Roman" w:hAnsi="Times New Roman"/>
                <w:color w:val="000000"/>
                <w:sz w:val="22"/>
                <w:szCs w:val="22"/>
              </w:rPr>
            </w:pPr>
            <w:r>
              <w:rPr>
                <w:rFonts w:ascii="Times New Roman" w:cs="Times New Roman" w:hAnsi="Times New Roman"/>
                <w:color w:val="000000"/>
                <w:sz w:val="22"/>
                <w:szCs w:val="22"/>
              </w:rPr>
              <w:t>37</w:t>
            </w:r>
          </w:p>
        </w:tc>
        <w:tc>
          <w:tcPr>
            <w:tcW w:w="12131" w:type="dxa"/>
            <w:vAlign w:val="center"/>
          </w:tcPr>
          <w:p>
            <w:pPr>
              <w:jc w:val="left"/>
              <w:rPr>
                <w:rFonts w:ascii="宋体" w:cs="宋体"/>
                <w:sz w:val="22"/>
              </w:rPr>
            </w:pPr>
            <w:r>
              <w:rPr>
                <w:rFonts w:ascii="宋体" w:cs="宋体"/>
                <w:sz w:val="22"/>
              </w:rPr>
              <w:t>DRS 90-2:20 25，抛光剂规范第2部分：鞋油类型。本标准最终草案说明了适用于皮革鞋类的蜡乳型鞋油的要求、取样和测试方法。</w:t>
            </w:r>
          </w:p>
        </w:tc>
      </w:tr>
      <w:tr>
        <w:trPr>
          <w:trHeight w:val="505"/>
        </w:trPr>
        <w:tc>
          <w:tcPr>
            <w:tcW w:w="1383" w:type="dxa"/>
            <w:tcBorders>
              <w:tl2br w:val="nil"/>
              <w:tr2bl w:val="nil"/>
            </w:tcBorders>
            <w:vAlign w:val="center"/>
          </w:tcPr>
          <w:p>
            <w:pPr>
              <w:pStyle w:val="79"/>
              <w:jc w:val="center"/>
            </w:pPr>
            <w:r>
              <w:t>马来西亚</w:t>
            </w:r>
          </w:p>
        </w:tc>
        <w:tc>
          <w:tcPr>
            <w:tcW w:w="659" w:type="dxa"/>
            <w:tcBorders>
              <w:top w:val="single" w:sz="4" w:space="0" w:color="000000"/>
              <w:left w:val="single" w:sz="4" w:space="0" w:color="000000"/>
              <w:right w:val="single" w:sz="4" w:space="0" w:color="000000"/>
            </w:tcBorders>
            <w:vAlign w:val="center"/>
          </w:tcPr>
          <w:p>
            <w:pPr>
              <w:jc w:val="center"/>
              <w:rPr>
                <w:rFonts w:ascii="Times New Roman" w:cs="Times New Roman" w:hAnsi="Times New Roman"/>
                <w:color w:val="000000"/>
                <w:sz w:val="22"/>
                <w:szCs w:val="22"/>
              </w:rPr>
            </w:pPr>
            <w:r>
              <w:rPr>
                <w:rFonts w:ascii="Times New Roman" w:cs="Times New Roman" w:hAnsi="Times New Roman"/>
                <w:color w:val="000000"/>
                <w:sz w:val="22"/>
                <w:szCs w:val="22"/>
              </w:rPr>
              <w:t>38</w:t>
            </w:r>
          </w:p>
        </w:tc>
        <w:tc>
          <w:tcPr>
            <w:tcW w:w="12131" w:type="dxa"/>
            <w:vAlign w:val="center"/>
          </w:tcPr>
          <w:p>
            <w:pPr>
              <w:jc w:val="left"/>
              <w:rPr>
                <w:rFonts w:ascii="宋体" w:eastAsia="宋体" w:cs="宋体"/>
                <w:sz w:val="22"/>
              </w:rPr>
            </w:pPr>
            <w:r>
              <w:rPr>
                <w:rFonts w:ascii="宋体" w:cs="宋体"/>
                <w:sz w:val="22"/>
              </w:rPr>
              <w:t>1983年《食品法》拟议修正案。1983年《食品法》的拟议修正案包括以下几个方面：加强对食品接触材料的控制；扩大部长和总干事的权力；对现有诠释的修订；加强执法活动；提高处罚率。</w:t>
            </w:r>
          </w:p>
        </w:tc>
      </w:tr>
      <w:tr>
        <w:trPr>
          <w:trHeight w:val="301"/>
        </w:trPr>
        <w:tc>
          <w:tcPr>
            <w:tcW w:w="1383" w:type="dxa"/>
            <w:tcBorders>
              <w:tl2br w:val="nil"/>
              <w:tr2bl w:val="nil"/>
            </w:tcBorders>
            <w:vAlign w:val="center"/>
          </w:tcPr>
          <w:p>
            <w:pPr>
              <w:jc w:val="center"/>
            </w:pPr>
            <w:r>
              <w:t>蒙古</w:t>
            </w:r>
          </w:p>
        </w:tc>
        <w:tc>
          <w:tcPr>
            <w:tcW w:w="659" w:type="dxa"/>
            <w:tcBorders>
              <w:top w:val="single" w:sz="4" w:space="0" w:color="000000"/>
              <w:left w:val="single" w:sz="4" w:space="0" w:color="000000"/>
              <w:right w:val="single" w:sz="4" w:space="0" w:color="000000"/>
            </w:tcBorders>
            <w:vAlign w:val="center"/>
          </w:tcPr>
          <w:p>
            <w:pPr>
              <w:jc w:val="center"/>
              <w:rPr>
                <w:rFonts w:ascii="Times New Roman" w:cs="Times New Roman" w:hAnsi="Times New Roman"/>
                <w:color w:val="000000"/>
                <w:sz w:val="22"/>
                <w:szCs w:val="22"/>
              </w:rPr>
            </w:pPr>
            <w:r>
              <w:rPr>
                <w:rFonts w:ascii="Times New Roman" w:cs="Times New Roman" w:hAnsi="Times New Roman"/>
                <w:color w:val="000000"/>
                <w:sz w:val="22"/>
                <w:szCs w:val="22"/>
              </w:rPr>
              <w:t>39</w:t>
            </w:r>
          </w:p>
        </w:tc>
        <w:tc>
          <w:tcPr>
            <w:tcW w:w="12131" w:type="dxa"/>
            <w:vAlign w:val="center"/>
          </w:tcPr>
          <w:p>
            <w:pPr>
              <w:jc w:val="left"/>
              <w:rPr>
                <w:rFonts w:ascii="宋体" w:eastAsia="宋体" w:cs="宋体"/>
                <w:sz w:val="22"/>
              </w:rPr>
            </w:pPr>
            <w:r>
              <w:rPr>
                <w:rFonts w:ascii="宋体" w:cs="宋体"/>
                <w:sz w:val="22"/>
              </w:rPr>
              <w:t>建筑材料和产品安全技术规程。本《建筑材料和产品安全技术规程》确立了旨在保护人类生命和健康、维护环境、防止误导消费者、确保建筑材料和产品的安全和正确使用的基本安全性、适用性和本质要求。</w:t>
            </w:r>
          </w:p>
        </w:tc>
      </w:tr>
      <w:tr>
        <w:trPr>
          <w:trHeight w:val="307"/>
        </w:trPr>
        <w:tc>
          <w:tcPr>
            <w:tcW w:w="1383" w:type="dxa"/>
            <w:tcBorders>
              <w:tl2br w:val="nil"/>
              <w:tr2bl w:val="nil"/>
            </w:tcBorders>
            <w:vAlign w:val="center"/>
          </w:tcPr>
          <w:p>
            <w:pPr>
              <w:pStyle w:val="59"/>
              <w:jc w:val="center"/>
              <w:textAlignment w:val="center"/>
            </w:pPr>
            <w:r>
              <w:t>秘鲁</w:t>
            </w:r>
          </w:p>
        </w:tc>
        <w:tc>
          <w:tcPr>
            <w:tcW w:w="659" w:type="dxa"/>
            <w:tcBorders>
              <w:top w:val="single" w:sz="4" w:space="0" w:color="000000"/>
              <w:left w:val="single" w:sz="4" w:space="0" w:color="000000"/>
              <w:right w:val="single" w:sz="4" w:space="0" w:color="000000"/>
            </w:tcBorders>
            <w:vAlign w:val="center"/>
          </w:tcPr>
          <w:p>
            <w:pPr>
              <w:jc w:val="center"/>
              <w:rPr>
                <w:rFonts w:ascii="Times New Roman" w:cs="Times New Roman" w:hAnsi="Times New Roman"/>
                <w:color w:val="000000"/>
                <w:sz w:val="22"/>
                <w:szCs w:val="22"/>
              </w:rPr>
            </w:pPr>
            <w:r>
              <w:rPr>
                <w:rFonts w:ascii="Times New Roman" w:cs="Times New Roman" w:hAnsi="Times New Roman"/>
                <w:color w:val="000000"/>
                <w:sz w:val="22"/>
                <w:szCs w:val="22"/>
              </w:rPr>
              <w:t>40</w:t>
            </w:r>
          </w:p>
        </w:tc>
        <w:tc>
          <w:tcPr>
            <w:tcW w:w="12131" w:type="dxa"/>
            <w:vAlign w:val="center"/>
          </w:tcPr>
          <w:p>
            <w:pPr>
              <w:jc w:val="left"/>
              <w:rPr>
                <w:rFonts w:ascii="宋体" w:eastAsia="宋体" w:cs="宋体"/>
                <w:sz w:val="22"/>
              </w:rPr>
            </w:pPr>
            <w:r>
              <w:rPr>
                <w:rFonts w:ascii="宋体" w:cs="宋体"/>
                <w:sz w:val="22"/>
              </w:rPr>
              <w:t>关于提交第一批和后续批次药品质量控制结果的条件的法规草案。 该条例旨在规定在秘鲁市场销售或分销之前对第一批和后续批次的药品进行质量控制的条件，以及提交此类控制结果的条件。</w:t>
            </w:r>
          </w:p>
        </w:tc>
      </w:tr>
      <w:tr>
        <w:trPr>
          <w:trHeight w:val="1549"/>
        </w:trPr>
        <w:tc>
          <w:tcPr>
            <w:tcW w:w="1383" w:type="dxa"/>
            <w:vMerge w:val="restart"/>
            <w:tcBorders>
              <w:tl2br w:val="nil"/>
              <w:tr2bl w:val="nil"/>
            </w:tcBorders>
            <w:vAlign w:val="center"/>
          </w:tcPr>
          <w:p>
            <w:pPr>
              <w:pStyle w:val="59"/>
              <w:jc w:val="center"/>
              <w:textAlignment w:val="center"/>
            </w:pPr>
            <w:r>
              <w:t>欧盟</w:t>
            </w:r>
          </w:p>
        </w:tc>
        <w:tc>
          <w:tcPr>
            <w:tcW w:w="659" w:type="dxa"/>
            <w:tcBorders>
              <w:top w:val="single" w:sz="4" w:space="0" w:color="000000"/>
              <w:left w:val="single" w:sz="4" w:space="0" w:color="000000"/>
              <w:right w:val="single" w:sz="4" w:space="0" w:color="000000"/>
            </w:tcBorders>
            <w:vAlign w:val="center"/>
          </w:tcPr>
          <w:p>
            <w:pPr>
              <w:jc w:val="center"/>
              <w:rPr>
                <w:rFonts w:ascii="Times New Roman" w:cs="Times New Roman" w:hAnsi="Times New Roman"/>
                <w:color w:val="000000"/>
                <w:sz w:val="22"/>
                <w:szCs w:val="22"/>
              </w:rPr>
            </w:pPr>
            <w:r>
              <w:rPr>
                <w:rFonts w:ascii="Times New Roman" w:cs="Times New Roman" w:hAnsi="Times New Roman"/>
                <w:color w:val="000000"/>
                <w:sz w:val="22"/>
                <w:szCs w:val="22"/>
              </w:rPr>
              <w:t>41</w:t>
            </w:r>
          </w:p>
        </w:tc>
        <w:tc>
          <w:tcPr>
            <w:tcW w:w="12131" w:type="dxa"/>
            <w:vAlign w:val="center"/>
          </w:tcPr>
          <w:p>
            <w:pPr>
              <w:jc w:val="left"/>
              <w:rPr>
                <w:rFonts w:ascii="宋体" w:cs="宋体"/>
                <w:sz w:val="22"/>
              </w:rPr>
            </w:pPr>
            <w:r>
              <w:rPr>
                <w:rFonts w:ascii="宋体" w:cs="宋体"/>
                <w:sz w:val="22"/>
              </w:rPr>
              <w:t xml:space="preserve">根据欧洲议会和理事会第528/2012号法规（EU），不批准多聚甲醛和2-羟丙胺（比例1：1）反应产物释放的甲醛作为现有活性物质用于产品类型6的生物杀灭产品的委员会执行决定草案。本委员会执行决定草案不批准多聚甲醛和2-羟丙胺（比例1：1）反应产物释放的甲醛作为现有活性物质用于产品类型6的杀生物产品。该物质符合第528/2012号法规（欧盟）第5（1）条规定的排除标准，并且不符合该法规第5（2）条的任何减损条件。也不符合第528/2012号法规（欧盟）第4(1)条规定的批准条件。 </w:t>
            </w:r>
          </w:p>
        </w:tc>
      </w:tr>
      <w:tr>
        <w:trPr>
          <w:trHeight w:val="613"/>
        </w:trPr>
        <w:tc>
          <w:tcPr>
            <w:tcW w:w="1383" w:type="dxa"/>
            <w:vMerge/>
            <w:tcBorders>
              <w:tl2br w:val="nil"/>
              <w:tr2bl w:val="nil"/>
            </w:tcBorders>
            <w:vAlign w:val="center"/>
          </w:tcPr>
          <w:p/>
        </w:tc>
        <w:tc>
          <w:tcPr>
            <w:tcW w:w="659" w:type="dxa"/>
            <w:tcBorders>
              <w:top w:val="single" w:sz="4" w:space="0" w:color="000000"/>
              <w:left w:val="single" w:sz="4" w:space="0" w:color="000000"/>
              <w:right w:val="single" w:sz="4" w:space="0" w:color="000000"/>
            </w:tcBorders>
            <w:vAlign w:val="center"/>
          </w:tcPr>
          <w:p>
            <w:pPr>
              <w:jc w:val="center"/>
              <w:rPr>
                <w:rFonts w:ascii="Times New Roman" w:cs="Times New Roman" w:hAnsi="Times New Roman"/>
                <w:color w:val="000000"/>
                <w:sz w:val="22"/>
                <w:szCs w:val="22"/>
              </w:rPr>
            </w:pPr>
            <w:r>
              <w:rPr>
                <w:rFonts w:ascii="Times New Roman" w:cs="Times New Roman" w:hAnsi="Times New Roman"/>
                <w:color w:val="000000"/>
                <w:sz w:val="22"/>
                <w:szCs w:val="22"/>
              </w:rPr>
              <w:t>42</w:t>
            </w:r>
          </w:p>
        </w:tc>
        <w:tc>
          <w:tcPr>
            <w:tcW w:w="12131" w:type="dxa"/>
            <w:vAlign w:val="center"/>
          </w:tcPr>
          <w:p>
            <w:pPr>
              <w:jc w:val="left"/>
              <w:rPr>
                <w:rFonts w:ascii="宋体" w:cs="宋体"/>
                <w:sz w:val="22"/>
              </w:rPr>
            </w:pPr>
            <w:r>
              <w:rPr>
                <w:rFonts w:ascii="宋体" w:cs="宋体"/>
                <w:sz w:val="22"/>
              </w:rPr>
              <w:t>委员会授权法规（EU）补充欧洲议会和理事会法规（EU）2024/3110，确定与基本耐火特性相关的性能等级。基本耐火特性声明的性能等级。</w:t>
            </w:r>
          </w:p>
        </w:tc>
      </w:tr>
      <w:tr>
        <w:trPr>
          <w:trHeight w:val="2485"/>
        </w:trPr>
        <w:tc>
          <w:tcPr>
            <w:tcW w:w="1383" w:type="dxa"/>
            <w:vMerge/>
            <w:tcBorders>
              <w:tl2br w:val="nil"/>
              <w:tr2bl w:val="nil"/>
            </w:tcBorders>
            <w:vAlign w:val="center"/>
          </w:tcPr>
          <w:p/>
        </w:tc>
        <w:tc>
          <w:tcPr>
            <w:tcW w:w="659" w:type="dxa"/>
            <w:tcBorders>
              <w:top w:val="single" w:sz="4" w:space="0" w:color="000000"/>
              <w:left w:val="single" w:sz="4" w:space="0" w:color="000000"/>
              <w:right w:val="single" w:sz="4" w:space="0" w:color="000000"/>
            </w:tcBorders>
            <w:vAlign w:val="center"/>
          </w:tcPr>
          <w:p>
            <w:pPr>
              <w:jc w:val="center"/>
              <w:rPr>
                <w:rFonts w:ascii="Times New Roman" w:cs="Times New Roman" w:hAnsi="Times New Roman"/>
                <w:color w:val="000000"/>
                <w:sz w:val="22"/>
                <w:szCs w:val="22"/>
              </w:rPr>
            </w:pPr>
            <w:r>
              <w:rPr>
                <w:rFonts w:ascii="Times New Roman" w:cs="Times New Roman" w:hAnsi="Times New Roman"/>
                <w:color w:val="000000"/>
                <w:sz w:val="22"/>
                <w:szCs w:val="22"/>
              </w:rPr>
              <w:t>43</w:t>
            </w:r>
          </w:p>
        </w:tc>
        <w:tc>
          <w:tcPr>
            <w:tcW w:w="12131" w:type="dxa"/>
            <w:vAlign w:val="center"/>
          </w:tcPr>
          <w:p>
            <w:pPr>
              <w:jc w:val="left"/>
              <w:rPr>
                <w:rFonts w:ascii="宋体" w:cs="宋体"/>
                <w:sz w:val="22"/>
              </w:rPr>
            </w:pPr>
            <w:r>
              <w:rPr>
                <w:rFonts w:ascii="宋体" w:cs="宋体"/>
                <w:sz w:val="22"/>
              </w:rPr>
              <w:t>委员会法规设定了空间加热器、组合加热器、温度控制器、太阳能设备、淋浴水热回收设备及其包装的生态设计要求，修订和废除了委员会法规（EU）813/2013，并废除了理事会指令92/42/EEC。扩大法规的范围，将额定热输出大于400千瓦且不超过1兆瓦的空间加热器包括在内。包括新产品定义以及新产品的测试和计算方法，包括混合热泵和热驱动热泵。包括供暖系统某些部分的信息要求，如太阳能设备、温度控制和淋浴水热回收设备。区分化石锅炉和更高效替代品的空间供暖能效要求，并将水供暖要求与专用热水器的草案要求保持一致。介绍冷却（作为信息要求）。引入资源效率要求，包括确保备件的可用性以及根据循环经济更容易获取维修和维护信息。这还包括提供有关产品拆卸的报废信息，以进行材料回收、再循环和处置。引入自我监测要求。该法规草案考虑了2021年9月27日和2023年4月23日举行的生态设计和能源标签咨询论坛会议的意见，并寻求平衡能源效率的提高与实际实施。</w:t>
            </w:r>
          </w:p>
        </w:tc>
      </w:tr>
      <w:tr>
        <w:trPr>
          <w:trHeight w:val="281"/>
        </w:trPr>
        <w:tc>
          <w:tcPr>
            <w:tcW w:w="1383" w:type="dxa"/>
            <w:vMerge/>
            <w:tcBorders>
              <w:tl2br w:val="nil"/>
              <w:tr2bl w:val="nil"/>
            </w:tcBorders>
            <w:vAlign w:val="center"/>
          </w:tcPr>
          <w:p/>
        </w:tc>
        <w:tc>
          <w:tcPr>
            <w:tcW w:w="659" w:type="dxa"/>
            <w:tcBorders>
              <w:top w:val="single" w:sz="4" w:space="0" w:color="000000"/>
              <w:left w:val="single" w:sz="4" w:space="0" w:color="000000"/>
              <w:right w:val="single" w:sz="4" w:space="0" w:color="000000"/>
            </w:tcBorders>
            <w:vAlign w:val="center"/>
          </w:tcPr>
          <w:p>
            <w:pPr>
              <w:jc w:val="center"/>
              <w:rPr>
                <w:rFonts w:ascii="Times New Roman" w:cs="Times New Roman" w:hAnsi="Times New Roman"/>
                <w:color w:val="000000"/>
                <w:sz w:val="22"/>
                <w:szCs w:val="22"/>
              </w:rPr>
            </w:pPr>
            <w:r>
              <w:rPr>
                <w:rFonts w:ascii="Times New Roman" w:cs="Times New Roman" w:hAnsi="Times New Roman"/>
                <w:color w:val="000000"/>
                <w:sz w:val="22"/>
                <w:szCs w:val="22"/>
              </w:rPr>
              <w:t>44</w:t>
            </w:r>
          </w:p>
        </w:tc>
        <w:tc>
          <w:tcPr>
            <w:tcW w:w="12131" w:type="dxa"/>
            <w:vAlign w:val="center"/>
          </w:tcPr>
          <w:p>
            <w:pPr>
              <w:jc w:val="left"/>
              <w:rPr>
                <w:rFonts w:ascii="宋体" w:cs="宋体"/>
                <w:sz w:val="22"/>
              </w:rPr>
            </w:pPr>
            <w:r>
              <w:rPr>
                <w:rFonts w:ascii="宋体" w:cs="宋体"/>
                <w:sz w:val="22"/>
              </w:rPr>
              <w:t>欧盟委员会授权条例草案，补充欧洲议会和理事会关于热水器、太阳能设备、淋浴水热回收设备、这些产品的包装和热水储罐的能源标签的第2017/1369号条例，并废除欧盟委员会授权条例（欧盟）第812/2013号。法规（EU）1369/2017要求重新调整热水器的能源标签。该草案将标签从以前的A+++/A++/A+类更新并重新缩放为更简单的A到G级。能源标签中添加了新的图标和功能、链接到欧洲能源标签产品注册的二维码以及智能节能电器的图标。该条例草案澄清了经销商在能源标签方面的权利和义务。</w:t>
            </w:r>
          </w:p>
        </w:tc>
      </w:tr>
      <w:tr>
        <w:trPr>
          <w:trHeight w:val="613"/>
        </w:trPr>
        <w:tc>
          <w:tcPr>
            <w:tcW w:w="1383" w:type="dxa"/>
            <w:vMerge/>
            <w:tcBorders>
              <w:tl2br w:val="nil"/>
              <w:tr2bl w:val="nil"/>
            </w:tcBorders>
            <w:vAlign w:val="center"/>
          </w:tcPr>
          <w:p/>
        </w:tc>
        <w:tc>
          <w:tcPr>
            <w:tcW w:w="659" w:type="dxa"/>
            <w:tcBorders>
              <w:top w:val="single" w:sz="4" w:space="0" w:color="000000"/>
              <w:left w:val="single" w:sz="4" w:space="0" w:color="000000"/>
              <w:right w:val="single" w:sz="4" w:space="0" w:color="000000"/>
            </w:tcBorders>
            <w:vAlign w:val="center"/>
          </w:tcPr>
          <w:p>
            <w:pPr>
              <w:jc w:val="center"/>
              <w:rPr>
                <w:rFonts w:ascii="Times New Roman" w:cs="Times New Roman" w:hAnsi="Times New Roman"/>
                <w:color w:val="000000"/>
                <w:sz w:val="22"/>
                <w:szCs w:val="22"/>
              </w:rPr>
            </w:pPr>
            <w:r>
              <w:rPr>
                <w:rFonts w:ascii="Times New Roman" w:cs="Times New Roman" w:hAnsi="Times New Roman"/>
                <w:color w:val="000000"/>
                <w:sz w:val="22"/>
                <w:szCs w:val="22"/>
              </w:rPr>
              <w:t>45</w:t>
            </w:r>
          </w:p>
        </w:tc>
        <w:tc>
          <w:tcPr>
            <w:tcW w:w="12131" w:type="dxa"/>
            <w:vAlign w:val="center"/>
          </w:tcPr>
          <w:p>
            <w:pPr>
              <w:jc w:val="left"/>
              <w:rPr>
                <w:rFonts w:ascii="宋体" w:cs="宋体"/>
                <w:sz w:val="22"/>
              </w:rPr>
            </w:pPr>
            <w:r>
              <w:rPr>
                <w:rFonts w:ascii="宋体" w:cs="宋体"/>
                <w:sz w:val="22"/>
              </w:rPr>
              <w:t>欧盟委员会授权法规（EU）补充欧洲议会和理事会法规（EU）2024/3110，为产品系列和类别建立适用的评估和验证系统。适用于每个产品族或产品类别的评估和验证系统。</w:t>
            </w:r>
          </w:p>
        </w:tc>
      </w:tr>
      <w:tr>
        <w:trPr>
          <w:trHeight w:val="1861"/>
        </w:trPr>
        <w:tc>
          <w:tcPr>
            <w:tcW w:w="1383" w:type="dxa"/>
            <w:vMerge/>
            <w:tcBorders>
              <w:tl2br w:val="nil"/>
              <w:tr2bl w:val="nil"/>
            </w:tcBorders>
            <w:vAlign w:val="center"/>
          </w:tcPr>
          <w:p/>
        </w:tc>
        <w:tc>
          <w:tcPr>
            <w:tcW w:w="659" w:type="dxa"/>
            <w:tcBorders>
              <w:top w:val="single" w:sz="4" w:space="0" w:color="000000"/>
              <w:left w:val="single" w:sz="4" w:space="0" w:color="000000"/>
              <w:right w:val="single" w:sz="4" w:space="0" w:color="000000"/>
            </w:tcBorders>
            <w:vAlign w:val="center"/>
          </w:tcPr>
          <w:p>
            <w:pPr>
              <w:jc w:val="center"/>
              <w:rPr>
                <w:rFonts w:ascii="Times New Roman" w:cs="Times New Roman" w:hAnsi="Times New Roman"/>
                <w:color w:val="000000"/>
                <w:sz w:val="22"/>
                <w:szCs w:val="22"/>
              </w:rPr>
            </w:pPr>
            <w:r>
              <w:rPr>
                <w:rFonts w:ascii="Times New Roman" w:cs="Times New Roman" w:hAnsi="Times New Roman"/>
                <w:color w:val="000000"/>
                <w:sz w:val="22"/>
                <w:szCs w:val="22"/>
              </w:rPr>
              <w:t>46</w:t>
            </w:r>
          </w:p>
        </w:tc>
        <w:tc>
          <w:tcPr>
            <w:tcW w:w="12131" w:type="dxa"/>
            <w:vAlign w:val="center"/>
          </w:tcPr>
          <w:p>
            <w:pPr>
              <w:jc w:val="left"/>
              <w:rPr>
                <w:rFonts w:ascii="宋体" w:cs="宋体"/>
                <w:sz w:val="22"/>
              </w:rPr>
            </w:pPr>
            <w:r>
              <w:rPr>
                <w:rFonts w:ascii="宋体" w:cs="宋体"/>
                <w:sz w:val="22"/>
              </w:rPr>
              <w:t>欧盟委员会授权条例草案，补充欧洲议会和理事会关于空间加热器、组合加热器、温度控制器、太阳能设备、淋浴水热回收设备及其包装的能源标签的第2017/1369号条例，并废除欧盟委员会授权条例（欧盟）第811/2013号； 法规（EU）1369/2017要求重新调整空间和热水器的能源标签。该草案将标签从以前的A+++/A++/A+类更新并重新缩放为更简单的A到G级。能源标签中添加了新的图标和功能，一个链接到欧洲能源标签产品注册中心的二维码，一个智能节能电器的图标，一个使用无Fgas制冷剂的热泵的图标，以及指示产品是否还提供水加热和/或冷却功能的图标。该条例草案澄清了经销商（包括作为经销商的安装商）在能源标签方面的权利和义务。</w:t>
            </w:r>
          </w:p>
        </w:tc>
      </w:tr>
      <w:tr>
        <w:trPr>
          <w:trHeight w:val="1314"/>
        </w:trPr>
        <w:tc>
          <w:tcPr>
            <w:tcW w:w="1383" w:type="dxa"/>
            <w:vMerge/>
            <w:tcBorders>
              <w:tl2br w:val="nil"/>
              <w:tr2bl w:val="nil"/>
            </w:tcBorders>
            <w:vAlign w:val="center"/>
          </w:tcPr>
          <w:p/>
        </w:tc>
        <w:tc>
          <w:tcPr>
            <w:tcW w:w="659" w:type="dxa"/>
            <w:tcBorders>
              <w:top w:val="single" w:sz="4" w:space="0" w:color="000000"/>
              <w:left w:val="single" w:sz="4" w:space="0" w:color="000000"/>
              <w:right w:val="single" w:sz="4" w:space="0" w:color="000000"/>
            </w:tcBorders>
            <w:vAlign w:val="center"/>
          </w:tcPr>
          <w:p>
            <w:pPr>
              <w:jc w:val="center"/>
              <w:rPr>
                <w:rFonts w:ascii="Times New Roman" w:cs="Times New Roman" w:hAnsi="Times New Roman"/>
                <w:color w:val="000000"/>
                <w:sz w:val="22"/>
                <w:szCs w:val="22"/>
              </w:rPr>
            </w:pPr>
            <w:r>
              <w:rPr>
                <w:rFonts w:ascii="Times New Roman" w:cs="Times New Roman" w:hAnsi="Times New Roman"/>
                <w:color w:val="000000"/>
                <w:sz w:val="22"/>
                <w:szCs w:val="22"/>
              </w:rPr>
              <w:t>47</w:t>
            </w:r>
          </w:p>
        </w:tc>
        <w:tc>
          <w:tcPr>
            <w:tcW w:w="12131" w:type="dxa"/>
            <w:vAlign w:val="center"/>
          </w:tcPr>
          <w:p>
            <w:pPr>
              <w:jc w:val="left"/>
              <w:rPr>
                <w:rFonts w:ascii="宋体" w:cs="宋体"/>
                <w:sz w:val="22"/>
              </w:rPr>
            </w:pPr>
            <w:r>
              <w:rPr>
                <w:rFonts w:ascii="宋体" w:cs="宋体"/>
                <w:sz w:val="22"/>
              </w:rPr>
              <w:t>设定热水器、太阳能设备、淋浴水热回收设备、这些产品的包装和热水储罐的生态设计要求的委员会法规，修订和废除委员会法规（EU）814/2013。扩大法规范围，纳入新的产品子类别，如热电联产热水器和PCM材料水箱。区分电热水器和燃气热水器的要求，以进一步节约能源。引入资源效率要求，包括确保备件的可用性以及根据循环经济更容易获取维修和维护信息。这还包括提供有关产品拆卸的报废信息，以进行材料回收、再循环和处置。</w:t>
            </w:r>
          </w:p>
        </w:tc>
      </w:tr>
      <w:tr>
        <w:trPr>
          <w:trHeight w:val="613"/>
        </w:trPr>
        <w:tc>
          <w:tcPr>
            <w:tcW w:w="1383" w:type="dxa"/>
            <w:vMerge/>
            <w:tcBorders>
              <w:tl2br w:val="nil"/>
              <w:tr2bl w:val="nil"/>
            </w:tcBorders>
            <w:vAlign w:val="center"/>
          </w:tcPr>
          <w:p/>
        </w:tc>
        <w:tc>
          <w:tcPr>
            <w:tcW w:w="659" w:type="dxa"/>
            <w:tcBorders>
              <w:top w:val="single" w:sz="4" w:space="0" w:color="000000"/>
              <w:left w:val="single" w:sz="4" w:space="0" w:color="000000"/>
              <w:right w:val="single" w:sz="4" w:space="0" w:color="000000"/>
            </w:tcBorders>
            <w:vAlign w:val="center"/>
          </w:tcPr>
          <w:p>
            <w:pPr>
              <w:jc w:val="center"/>
              <w:rPr>
                <w:rFonts w:ascii="Times New Roman" w:cs="Times New Roman" w:hAnsi="Times New Roman"/>
                <w:color w:val="000000"/>
                <w:sz w:val="22"/>
                <w:szCs w:val="22"/>
              </w:rPr>
            </w:pPr>
            <w:r>
              <w:rPr>
                <w:rFonts w:ascii="Times New Roman" w:cs="Times New Roman" w:hAnsi="Times New Roman" w:hint="eastAsia"/>
                <w:color w:val="000000"/>
                <w:sz w:val="22"/>
                <w:szCs w:val="22"/>
              </w:rPr>
              <w:t>4</w:t>
            </w:r>
            <w:r>
              <w:rPr>
                <w:rFonts w:ascii="Times New Roman" w:cs="Times New Roman" w:hAnsi="Times New Roman"/>
                <w:color w:val="000000"/>
                <w:sz w:val="22"/>
                <w:szCs w:val="22"/>
              </w:rPr>
              <w:t>8</w:t>
            </w:r>
          </w:p>
        </w:tc>
        <w:tc>
          <w:tcPr>
            <w:tcW w:w="12131" w:type="dxa"/>
            <w:vAlign w:val="center"/>
          </w:tcPr>
          <w:p>
            <w:pPr>
              <w:jc w:val="left"/>
              <w:rPr>
                <w:rFonts w:ascii="宋体" w:cs="宋体"/>
                <w:sz w:val="22"/>
              </w:rPr>
            </w:pPr>
            <w:r>
              <w:rPr>
                <w:rFonts w:ascii="宋体" w:cs="宋体"/>
                <w:sz w:val="22"/>
              </w:rPr>
              <w:t>委员会授权法规（EU）补充欧洲议会和理事会法规（EU）2024/3110，确定与火灾基本特征反应相关的性能等级。对火灾的基本特征反应声明的性能等级</w:t>
            </w:r>
          </w:p>
        </w:tc>
      </w:tr>
      <w:tr>
        <w:trPr>
          <w:trHeight w:val="703"/>
        </w:trPr>
        <w:tc>
          <w:tcPr>
            <w:tcW w:w="1383" w:type="dxa"/>
            <w:vMerge w:val="restart"/>
            <w:tcBorders>
              <w:tl2br w:val="nil"/>
              <w:tr2bl w:val="nil"/>
            </w:tcBorders>
            <w:vAlign w:val="center"/>
          </w:tcPr>
          <w:p>
            <w:pPr>
              <w:pStyle w:val="66"/>
              <w:jc w:val="center"/>
            </w:pPr>
            <w:r>
              <w:t>日本</w:t>
            </w:r>
          </w:p>
        </w:tc>
        <w:tc>
          <w:tcPr>
            <w:tcW w:w="659" w:type="dxa"/>
            <w:tcBorders>
              <w:top w:val="single" w:sz="4" w:space="0" w:color="000000"/>
              <w:left w:val="single" w:sz="4" w:space="0" w:color="000000"/>
              <w:right w:val="single" w:sz="4" w:space="0" w:color="000000"/>
            </w:tcBorders>
            <w:vAlign w:val="center"/>
          </w:tcPr>
          <w:p>
            <w:pPr>
              <w:jc w:val="center"/>
              <w:rPr>
                <w:rFonts w:ascii="Times New Roman" w:cs="Times New Roman" w:hAnsi="Times New Roman"/>
                <w:color w:val="000000"/>
                <w:sz w:val="22"/>
                <w:szCs w:val="22"/>
              </w:rPr>
            </w:pPr>
            <w:r>
              <w:rPr>
                <w:rFonts w:ascii="Times New Roman" w:cs="Times New Roman" w:hAnsi="Times New Roman"/>
                <w:color w:val="000000"/>
                <w:sz w:val="22"/>
                <w:szCs w:val="22"/>
              </w:rPr>
              <w:t>49</w:t>
            </w:r>
          </w:p>
        </w:tc>
        <w:tc>
          <w:tcPr>
            <w:tcW w:w="12131" w:type="dxa"/>
            <w:vAlign w:val="center"/>
          </w:tcPr>
          <w:p>
            <w:pPr>
              <w:pStyle w:val="64"/>
              <w:jc w:val="left"/>
              <w:rPr>
                <w:rFonts w:ascii="宋体" w:cs="宋体"/>
                <w:sz w:val="22"/>
              </w:rPr>
            </w:pPr>
            <w:r>
              <w:rPr>
                <w:rFonts w:ascii="宋体" w:cs="宋体"/>
                <w:sz w:val="22"/>
              </w:rPr>
              <w:t xml:space="preserve">部分修订《无线电法执行条例》等。日本将修订《无线电法执行条例》等，对用户终端使用的无线电设备提出技术要求，这些设备是Ka波段非地球静止卫星通信系统的一部分，在大约600公里高度的轨道上运行。 </w:t>
            </w:r>
          </w:p>
        </w:tc>
      </w:tr>
      <w:tr>
        <w:trPr>
          <w:trHeight w:val="613"/>
        </w:trPr>
        <w:tc>
          <w:tcPr>
            <w:tcW w:w="1383" w:type="dxa"/>
            <w:vMerge/>
            <w:tcBorders>
              <w:tl2br w:val="nil"/>
              <w:tr2bl w:val="nil"/>
            </w:tcBorders>
            <w:vAlign w:val="center"/>
          </w:tcPr>
          <w:p/>
        </w:tc>
        <w:tc>
          <w:tcPr>
            <w:tcW w:w="659" w:type="dxa"/>
            <w:tcBorders>
              <w:top w:val="single" w:sz="4" w:space="0" w:color="000000"/>
              <w:left w:val="single" w:sz="4" w:space="0" w:color="000000"/>
              <w:right w:val="single" w:sz="4" w:space="0" w:color="000000"/>
            </w:tcBorders>
            <w:vAlign w:val="center"/>
          </w:tcPr>
          <w:p>
            <w:pPr>
              <w:jc w:val="center"/>
              <w:rPr>
                <w:rFonts w:ascii="Times New Roman" w:cs="Times New Roman" w:hAnsi="Times New Roman"/>
                <w:color w:val="000000"/>
                <w:sz w:val="22"/>
                <w:szCs w:val="22"/>
              </w:rPr>
            </w:pPr>
            <w:r>
              <w:rPr>
                <w:rFonts w:ascii="Times New Roman" w:cs="Times New Roman" w:hAnsi="Times New Roman" w:hint="eastAsia"/>
                <w:color w:val="000000"/>
                <w:sz w:val="22"/>
                <w:szCs w:val="22"/>
              </w:rPr>
              <w:t>5</w:t>
            </w:r>
            <w:r>
              <w:rPr>
                <w:rFonts w:ascii="Times New Roman" w:cs="Times New Roman" w:hAnsi="Times New Roman"/>
                <w:color w:val="000000"/>
                <w:sz w:val="22"/>
                <w:szCs w:val="22"/>
              </w:rPr>
              <w:t>0</w:t>
            </w:r>
          </w:p>
        </w:tc>
        <w:tc>
          <w:tcPr>
            <w:tcW w:w="12131" w:type="dxa"/>
            <w:vAlign w:val="center"/>
          </w:tcPr>
          <w:p>
            <w:pPr>
              <w:jc w:val="left"/>
              <w:rPr>
                <w:rFonts w:ascii="宋体" w:cs="宋体"/>
                <w:sz w:val="22"/>
              </w:rPr>
            </w:pPr>
            <w:r>
              <w:rPr>
                <w:rFonts w:ascii="宋体" w:cs="宋体"/>
                <w:sz w:val="22"/>
              </w:rPr>
              <w:t>根据《确保包括药品和医疗器械在内的产品的质量、功效和安全性法案》，指定Shitei Yakubutsu（指定物质）。该法案提议将一种物质额外指定为Shitei Yakubutsu，以及它们在该法下的适当用途。</w:t>
            </w:r>
          </w:p>
        </w:tc>
      </w:tr>
      <w:tr>
        <w:trPr>
          <w:trHeight w:val="613"/>
        </w:trPr>
        <w:tc>
          <w:tcPr>
            <w:tcW w:w="1383" w:type="dxa"/>
            <w:vMerge/>
            <w:tcBorders>
              <w:tl2br w:val="nil"/>
              <w:tr2bl w:val="nil"/>
            </w:tcBorders>
            <w:vAlign w:val="center"/>
          </w:tcPr>
          <w:p/>
        </w:tc>
        <w:tc>
          <w:tcPr>
            <w:tcW w:w="659" w:type="dxa"/>
            <w:tcBorders>
              <w:top w:val="single" w:sz="4" w:space="0" w:color="000000"/>
              <w:left w:val="single" w:sz="4" w:space="0" w:color="000000"/>
              <w:right w:val="single" w:sz="4" w:space="0" w:color="000000"/>
            </w:tcBorders>
            <w:vAlign w:val="center"/>
          </w:tcPr>
          <w:p>
            <w:pPr>
              <w:jc w:val="center"/>
              <w:rPr>
                <w:rFonts w:ascii="Times New Roman" w:cs="Times New Roman" w:hAnsi="Times New Roman"/>
                <w:color w:val="000000"/>
                <w:sz w:val="22"/>
                <w:szCs w:val="22"/>
              </w:rPr>
            </w:pPr>
            <w:r>
              <w:rPr>
                <w:rFonts w:ascii="Times New Roman" w:cs="Times New Roman" w:hAnsi="Times New Roman" w:hint="eastAsia"/>
                <w:color w:val="000000"/>
                <w:sz w:val="22"/>
                <w:szCs w:val="22"/>
              </w:rPr>
              <w:t>5</w:t>
            </w:r>
            <w:r>
              <w:rPr>
                <w:rFonts w:ascii="Times New Roman" w:cs="Times New Roman" w:hAnsi="Times New Roman"/>
                <w:color w:val="000000"/>
                <w:sz w:val="22"/>
                <w:szCs w:val="22"/>
              </w:rPr>
              <w:t>1</w:t>
            </w:r>
          </w:p>
        </w:tc>
        <w:tc>
          <w:tcPr>
            <w:tcW w:w="12131" w:type="dxa"/>
            <w:vAlign w:val="center"/>
          </w:tcPr>
          <w:p>
            <w:pPr>
              <w:jc w:val="left"/>
              <w:rPr>
                <w:rFonts w:ascii="宋体" w:cs="宋体"/>
                <w:sz w:val="22"/>
              </w:rPr>
            </w:pPr>
            <w:r>
              <w:rPr>
                <w:rFonts w:ascii="宋体" w:cs="宋体"/>
                <w:sz w:val="22"/>
              </w:rPr>
              <w:t>修订《工业安全与健康法执行令》及有关须透过SDS贴上标签及发出通知的化学物质的相关条例等； 将对《工业安全和健康法执行令》和相关条例进行部分修订，以规定与化学物质有关的企业经营者有义务通过SDS等进行标签和通知。</w:t>
            </w:r>
          </w:p>
        </w:tc>
      </w:tr>
      <w:tr>
        <w:trPr>
          <w:trHeight w:val="1005"/>
        </w:trPr>
        <w:tc>
          <w:tcPr>
            <w:tcW w:w="1383" w:type="dxa"/>
            <w:vMerge/>
            <w:tcBorders>
              <w:tl2br w:val="nil"/>
              <w:tr2bl w:val="nil"/>
            </w:tcBorders>
            <w:vAlign w:val="center"/>
          </w:tcPr>
          <w:p/>
        </w:tc>
        <w:tc>
          <w:tcPr>
            <w:tcW w:w="659" w:type="dxa"/>
            <w:tcBorders>
              <w:top w:val="single" w:sz="4" w:space="0" w:color="000000"/>
              <w:left w:val="single" w:sz="4" w:space="0" w:color="000000"/>
              <w:right w:val="single" w:sz="4" w:space="0" w:color="000000"/>
            </w:tcBorders>
            <w:vAlign w:val="center"/>
          </w:tcPr>
          <w:p>
            <w:pPr>
              <w:jc w:val="center"/>
              <w:rPr>
                <w:rFonts w:ascii="Times New Roman" w:cs="Times New Roman" w:hAnsi="Times New Roman"/>
                <w:color w:val="000000"/>
                <w:sz w:val="22"/>
                <w:szCs w:val="22"/>
              </w:rPr>
            </w:pPr>
            <w:r>
              <w:rPr>
                <w:rFonts w:ascii="Times New Roman" w:cs="Times New Roman" w:hAnsi="Times New Roman" w:hint="eastAsia"/>
                <w:color w:val="000000"/>
                <w:sz w:val="22"/>
                <w:szCs w:val="22"/>
              </w:rPr>
              <w:t>5</w:t>
            </w:r>
            <w:r>
              <w:rPr>
                <w:rFonts w:ascii="Times New Roman" w:cs="Times New Roman" w:hAnsi="Times New Roman"/>
                <w:color w:val="000000"/>
                <w:sz w:val="22"/>
                <w:szCs w:val="22"/>
              </w:rPr>
              <w:t>2</w:t>
            </w:r>
          </w:p>
        </w:tc>
        <w:tc>
          <w:tcPr>
            <w:tcW w:w="12131" w:type="dxa"/>
            <w:vAlign w:val="center"/>
          </w:tcPr>
          <w:p>
            <w:pPr>
              <w:jc w:val="left"/>
              <w:rPr>
                <w:rFonts w:ascii="宋体" w:cs="宋体"/>
                <w:sz w:val="22"/>
              </w:rPr>
            </w:pPr>
            <w:r>
              <w:rPr>
                <w:rFonts w:ascii="宋体" w:cs="宋体"/>
                <w:sz w:val="22"/>
              </w:rPr>
              <w:t>修订《化学物质制造和评价管理法》执行令。根据《化学物质制造和评估管理法》第17条和第22条，以下物质将被指定为需要授权才能制造或进口的第一类特定化学物质。毒死蜱、碳链长度在C14-17范围内且氯化水平等于或超过氯重量45%的氯化石蜡、长链全氟羧酸及其盐和相关化合物。</w:t>
            </w:r>
          </w:p>
        </w:tc>
      </w:tr>
      <w:tr>
        <w:trPr>
          <w:trHeight w:val="574"/>
        </w:trPr>
        <w:tc>
          <w:tcPr>
            <w:tcW w:w="1383" w:type="dxa"/>
            <w:tcBorders>
              <w:tl2br w:val="nil"/>
              <w:tr2bl w:val="nil"/>
            </w:tcBorders>
            <w:vAlign w:val="center"/>
          </w:tcPr>
          <w:p>
            <w:pPr>
              <w:pStyle w:val="66"/>
              <w:jc w:val="center"/>
            </w:pPr>
            <w:r>
              <w:t>瑞士</w:t>
            </w:r>
          </w:p>
        </w:tc>
        <w:tc>
          <w:tcPr>
            <w:tcW w:w="659" w:type="dxa"/>
            <w:tcBorders>
              <w:top w:val="single" w:sz="4" w:space="0" w:color="000000"/>
              <w:left w:val="single" w:sz="4" w:space="0" w:color="000000"/>
              <w:right w:val="single" w:sz="4" w:space="0" w:color="000000"/>
            </w:tcBorders>
            <w:vAlign w:val="center"/>
          </w:tcPr>
          <w:p>
            <w:pPr>
              <w:jc w:val="center"/>
              <w:rPr>
                <w:rFonts w:ascii="Times New Roman" w:cs="Times New Roman" w:hAnsi="Times New Roman"/>
                <w:color w:val="000000"/>
                <w:sz w:val="22"/>
                <w:szCs w:val="22"/>
              </w:rPr>
            </w:pPr>
            <w:r>
              <w:rPr>
                <w:rFonts w:ascii="Times New Roman" w:cs="Times New Roman" w:hAnsi="Times New Roman" w:hint="eastAsia"/>
                <w:color w:val="000000"/>
                <w:sz w:val="22"/>
                <w:szCs w:val="22"/>
              </w:rPr>
              <w:t>5</w:t>
            </w:r>
            <w:r>
              <w:rPr>
                <w:rFonts w:ascii="Times New Roman" w:cs="Times New Roman" w:hAnsi="Times New Roman"/>
                <w:color w:val="000000"/>
                <w:sz w:val="22"/>
                <w:szCs w:val="22"/>
              </w:rPr>
              <w:t>3</w:t>
            </w:r>
          </w:p>
        </w:tc>
        <w:tc>
          <w:tcPr>
            <w:tcW w:w="12131" w:type="dxa"/>
            <w:vAlign w:val="center"/>
          </w:tcPr>
          <w:p>
            <w:pPr>
              <w:rPr>
                <w:rFonts w:ascii="宋体" w:cs="宋体"/>
                <w:sz w:val="22"/>
              </w:rPr>
            </w:pPr>
            <w:r>
              <w:rPr>
                <w:rFonts w:ascii="宋体" w:cs="宋体"/>
                <w:sz w:val="22"/>
              </w:rPr>
              <w:t>烟草产品和电子烟条例草案。在通过“保护儿童和青少年免受烟草广告侵害（无烟草广告的儿童和青少年）”的民众倡议后，瑞士议会在《烟草产品法》中引入了对烟草产品和电子烟的广告、促销和赞助的额外限制。修订后的法律禁止在报刊上做广告，并规定在主要通过订阅销售且读者群至少98%为成年人的出版物上做广告的例外情况。该法案要求发布此类广告的人在三年前记录某些信息，以便州主管当局进行可能的检查。这些文件必须证明符合命令规定的标准。该草案列出了确定互联网广告是否被视为针对瑞士市场的指示性标准，并规定了在互联网上销售或通过自动售货机销售以及在互联网上投放广告的强制性年龄控制系统必须满足的要求。它还规定了联邦公共卫生办公室在控制互联网广告限制和遵守年龄控制系统要求方面的新任务中可以收取的费用。最后，该项目根据自2024年10月1日起实施OPTab所取得的经验提出了调整建议。例如，对致癌物质警告的大小进行了澄清：它必须覆盖容器一个侧面的至少50%。</w:t>
            </w:r>
          </w:p>
        </w:tc>
      </w:tr>
      <w:tr>
        <w:trPr>
          <w:trHeight w:val="710"/>
        </w:trPr>
        <w:tc>
          <w:tcPr>
            <w:tcW w:w="1383" w:type="dxa"/>
            <w:vMerge w:val="restart"/>
            <w:tcBorders>
              <w:tl2br w:val="nil"/>
              <w:tr2bl w:val="nil"/>
            </w:tcBorders>
            <w:vAlign w:val="center"/>
          </w:tcPr>
          <w:p>
            <w:pPr>
              <w:pStyle w:val="95"/>
              <w:jc w:val="center"/>
            </w:pPr>
            <w:r>
              <w:t>坦桑尼亚</w:t>
            </w:r>
          </w:p>
        </w:tc>
        <w:tc>
          <w:tcPr>
            <w:tcW w:w="659" w:type="dxa"/>
            <w:tcBorders>
              <w:top w:val="single" w:sz="4" w:space="0" w:color="000000"/>
              <w:left w:val="single" w:sz="4" w:space="0" w:color="000000"/>
              <w:right w:val="single" w:sz="4" w:space="0" w:color="000000"/>
            </w:tcBorders>
            <w:vAlign w:val="center"/>
          </w:tcPr>
          <w:p>
            <w:pPr>
              <w:jc w:val="center"/>
              <w:rPr>
                <w:rFonts w:ascii="Times New Roman" w:cs="Times New Roman" w:hAnsi="Times New Roman"/>
                <w:color w:val="000000"/>
                <w:sz w:val="22"/>
                <w:szCs w:val="22"/>
              </w:rPr>
            </w:pPr>
            <w:r>
              <w:rPr>
                <w:rFonts w:ascii="Times New Roman" w:cs="Times New Roman" w:hAnsi="Times New Roman" w:hint="eastAsia"/>
                <w:color w:val="000000"/>
                <w:sz w:val="22"/>
                <w:szCs w:val="22"/>
              </w:rPr>
              <w:t>5</w:t>
            </w:r>
            <w:r>
              <w:rPr>
                <w:rFonts w:ascii="Times New Roman" w:cs="Times New Roman" w:hAnsi="Times New Roman"/>
                <w:color w:val="000000"/>
                <w:sz w:val="22"/>
                <w:szCs w:val="22"/>
              </w:rPr>
              <w:t>4</w:t>
            </w:r>
          </w:p>
        </w:tc>
        <w:tc>
          <w:tcPr>
            <w:tcW w:w="12131" w:type="dxa"/>
            <w:vAlign w:val="center"/>
          </w:tcPr>
          <w:p>
            <w:pPr>
              <w:jc w:val="left"/>
              <w:rPr>
                <w:rFonts w:ascii="宋体" w:cs="宋体"/>
                <w:sz w:val="22"/>
              </w:rPr>
            </w:pPr>
            <w:r>
              <w:rPr>
                <w:rFonts w:ascii="宋体" w:cs="宋体"/>
                <w:sz w:val="22"/>
              </w:rPr>
              <w:t>DEAS 983：2025，复写纸规范，第二版。该标准草案规定了复写纸的要求、取样和测试方法。它涵盖了打字和手写用复写纸及其各自的等级。</w:t>
            </w:r>
          </w:p>
        </w:tc>
      </w:tr>
      <w:tr>
        <w:trPr>
          <w:trHeight w:val="437"/>
        </w:trPr>
        <w:tc>
          <w:tcPr>
            <w:tcW w:w="1383" w:type="dxa"/>
            <w:vMerge/>
            <w:tcBorders>
              <w:tl2br w:val="nil"/>
              <w:tr2bl w:val="nil"/>
            </w:tcBorders>
            <w:vAlign w:val="center"/>
          </w:tcPr>
          <w:p/>
        </w:tc>
        <w:tc>
          <w:tcPr>
            <w:tcW w:w="659" w:type="dxa"/>
            <w:tcBorders>
              <w:top w:val="single" w:sz="4" w:space="0" w:color="000000"/>
              <w:left w:val="single" w:sz="4" w:space="0" w:color="000000"/>
              <w:right w:val="single" w:sz="4" w:space="0" w:color="000000"/>
            </w:tcBorders>
            <w:vAlign w:val="center"/>
          </w:tcPr>
          <w:p>
            <w:pPr>
              <w:jc w:val="center"/>
              <w:rPr>
                <w:rFonts w:ascii="Times New Roman" w:cs="Times New Roman" w:hAnsi="Times New Roman"/>
                <w:color w:val="000000"/>
                <w:sz w:val="22"/>
                <w:szCs w:val="22"/>
              </w:rPr>
            </w:pPr>
            <w:r>
              <w:rPr>
                <w:rFonts w:ascii="Times New Roman" w:cs="Times New Roman" w:hAnsi="Times New Roman" w:hint="eastAsia"/>
                <w:color w:val="000000"/>
                <w:sz w:val="22"/>
                <w:szCs w:val="22"/>
              </w:rPr>
              <w:t>5</w:t>
            </w:r>
            <w:r>
              <w:rPr>
                <w:rFonts w:ascii="Times New Roman" w:cs="Times New Roman" w:hAnsi="Times New Roman"/>
                <w:color w:val="000000"/>
                <w:sz w:val="22"/>
                <w:szCs w:val="22"/>
              </w:rPr>
              <w:t>5</w:t>
            </w:r>
          </w:p>
        </w:tc>
        <w:tc>
          <w:tcPr>
            <w:tcW w:w="12131" w:type="dxa"/>
            <w:vAlign w:val="center"/>
          </w:tcPr>
          <w:p>
            <w:pPr>
              <w:jc w:val="left"/>
              <w:rPr>
                <w:rFonts w:ascii="宋体" w:cs="宋体"/>
                <w:sz w:val="22"/>
              </w:rPr>
            </w:pPr>
            <w:r>
              <w:rPr>
                <w:rFonts w:ascii="宋体" w:cs="宋体"/>
                <w:sz w:val="22"/>
              </w:rPr>
              <w:t>CD-ARS 1235：2025，家禽蛋candler（生育力测试仪）规范，第一版。该标准草案规定了家禽生育力测试仪的最低安全要求和性能测试。</w:t>
            </w:r>
          </w:p>
        </w:tc>
      </w:tr>
      <w:tr>
        <w:trPr>
          <w:trHeight w:val="613"/>
        </w:trPr>
        <w:tc>
          <w:tcPr>
            <w:tcW w:w="1383" w:type="dxa"/>
            <w:vMerge/>
            <w:tcBorders>
              <w:tl2br w:val="nil"/>
              <w:tr2bl w:val="nil"/>
            </w:tcBorders>
            <w:vAlign w:val="center"/>
          </w:tcPr>
          <w:p/>
        </w:tc>
        <w:tc>
          <w:tcPr>
            <w:tcW w:w="659" w:type="dxa"/>
            <w:tcBorders>
              <w:top w:val="single" w:sz="4" w:space="0" w:color="000000"/>
              <w:left w:val="single" w:sz="4" w:space="0" w:color="000000"/>
              <w:right w:val="single" w:sz="4" w:space="0" w:color="000000"/>
            </w:tcBorders>
            <w:vAlign w:val="center"/>
          </w:tcPr>
          <w:p>
            <w:pPr>
              <w:jc w:val="center"/>
              <w:rPr>
                <w:rFonts w:ascii="Times New Roman" w:cs="Times New Roman" w:hAnsi="Times New Roman"/>
                <w:color w:val="000000"/>
                <w:sz w:val="22"/>
                <w:szCs w:val="22"/>
              </w:rPr>
            </w:pPr>
            <w:r>
              <w:rPr>
                <w:rFonts w:ascii="Times New Roman" w:cs="Times New Roman" w:hAnsi="Times New Roman" w:hint="eastAsia"/>
                <w:color w:val="000000"/>
                <w:sz w:val="22"/>
                <w:szCs w:val="22"/>
              </w:rPr>
              <w:t>5</w:t>
            </w:r>
            <w:r>
              <w:rPr>
                <w:rFonts w:ascii="Times New Roman" w:cs="Times New Roman" w:hAnsi="Times New Roman"/>
                <w:color w:val="000000"/>
                <w:sz w:val="22"/>
                <w:szCs w:val="22"/>
              </w:rPr>
              <w:t>6</w:t>
            </w:r>
          </w:p>
        </w:tc>
        <w:tc>
          <w:tcPr>
            <w:tcW w:w="12131" w:type="dxa"/>
            <w:vAlign w:val="center"/>
          </w:tcPr>
          <w:p>
            <w:pPr>
              <w:jc w:val="left"/>
              <w:rPr>
                <w:rFonts w:ascii="宋体" w:cs="宋体"/>
                <w:sz w:val="22"/>
              </w:rPr>
            </w:pPr>
            <w:r>
              <w:rPr>
                <w:rFonts w:ascii="宋体" w:cs="宋体"/>
                <w:sz w:val="22"/>
              </w:rPr>
              <w:t>CD-ARS 1275：2025，猪用电动击晕钳规范，第一版。该标准草案规定了猪电击器的分类、制造和性能要求，以确保生猪在屠宰过程中的福利</w:t>
            </w:r>
          </w:p>
        </w:tc>
      </w:tr>
      <w:tr>
        <w:trPr>
          <w:trHeight w:val="681"/>
        </w:trPr>
        <w:tc>
          <w:tcPr>
            <w:tcW w:w="1383" w:type="dxa"/>
            <w:vMerge/>
            <w:tcBorders>
              <w:tl2br w:val="nil"/>
              <w:tr2bl w:val="nil"/>
            </w:tcBorders>
            <w:vAlign w:val="center"/>
          </w:tcPr>
          <w:p/>
        </w:tc>
        <w:tc>
          <w:tcPr>
            <w:tcW w:w="659" w:type="dxa"/>
            <w:tcBorders>
              <w:top w:val="single" w:sz="4" w:space="0" w:color="000000"/>
              <w:left w:val="single" w:sz="4" w:space="0" w:color="000000"/>
              <w:right w:val="single" w:sz="4" w:space="0" w:color="000000"/>
            </w:tcBorders>
            <w:vAlign w:val="center"/>
          </w:tcPr>
          <w:p>
            <w:pPr>
              <w:jc w:val="center"/>
              <w:rPr>
                <w:rFonts w:ascii="Times New Roman" w:cs="Times New Roman" w:hAnsi="Times New Roman"/>
                <w:color w:val="000000"/>
                <w:sz w:val="22"/>
                <w:szCs w:val="22"/>
              </w:rPr>
            </w:pPr>
            <w:r>
              <w:rPr>
                <w:rFonts w:ascii="Times New Roman" w:cs="Times New Roman" w:hAnsi="Times New Roman" w:hint="eastAsia"/>
                <w:color w:val="000000"/>
                <w:sz w:val="22"/>
                <w:szCs w:val="22"/>
              </w:rPr>
              <w:t>5</w:t>
            </w:r>
            <w:r>
              <w:rPr>
                <w:rFonts w:ascii="Times New Roman" w:cs="Times New Roman" w:hAnsi="Times New Roman"/>
                <w:color w:val="000000"/>
                <w:sz w:val="22"/>
                <w:szCs w:val="22"/>
              </w:rPr>
              <w:t>7</w:t>
            </w:r>
          </w:p>
        </w:tc>
        <w:tc>
          <w:tcPr>
            <w:tcW w:w="12131" w:type="dxa"/>
            <w:vAlign w:val="center"/>
          </w:tcPr>
          <w:p>
            <w:pPr>
              <w:jc w:val="left"/>
              <w:rPr>
                <w:rFonts w:ascii="宋体" w:cs="宋体"/>
                <w:sz w:val="22"/>
              </w:rPr>
            </w:pPr>
            <w:r>
              <w:rPr>
                <w:rFonts w:ascii="宋体" w:cs="宋体"/>
                <w:sz w:val="22"/>
              </w:rPr>
              <w:t>CDC 15(3747)DTZS，航空涡轮燃料(Jet A-1)规范，第三版。该坦桑尼亚标准草案规定了喷气A-1型航空涡轮燃料的要求，这种燃料是一种特殊的煤油。</w:t>
            </w:r>
          </w:p>
        </w:tc>
      </w:tr>
      <w:tr>
        <w:trPr>
          <w:trHeight w:val="613"/>
        </w:trPr>
        <w:tc>
          <w:tcPr>
            <w:tcW w:w="1383" w:type="dxa"/>
            <w:vMerge/>
            <w:tcBorders>
              <w:tl2br w:val="nil"/>
              <w:tr2bl w:val="nil"/>
            </w:tcBorders>
            <w:vAlign w:val="center"/>
          </w:tcPr>
          <w:p/>
        </w:tc>
        <w:tc>
          <w:tcPr>
            <w:tcW w:w="659" w:type="dxa"/>
            <w:tcBorders>
              <w:top w:val="single" w:sz="4" w:space="0" w:color="000000"/>
              <w:left w:val="single" w:sz="4" w:space="0" w:color="000000"/>
              <w:right w:val="single" w:sz="4" w:space="0" w:color="000000"/>
            </w:tcBorders>
            <w:vAlign w:val="center"/>
          </w:tcPr>
          <w:p>
            <w:pPr>
              <w:jc w:val="center"/>
              <w:rPr>
                <w:rFonts w:ascii="Times New Roman" w:cs="Times New Roman" w:hAnsi="Times New Roman"/>
                <w:color w:val="000000"/>
                <w:sz w:val="22"/>
                <w:szCs w:val="22"/>
              </w:rPr>
            </w:pPr>
            <w:r>
              <w:rPr>
                <w:rFonts w:ascii="Times New Roman" w:cs="Times New Roman" w:hAnsi="Times New Roman" w:hint="eastAsia"/>
                <w:color w:val="000000"/>
                <w:sz w:val="22"/>
                <w:szCs w:val="22"/>
              </w:rPr>
              <w:t>5</w:t>
            </w:r>
            <w:r>
              <w:rPr>
                <w:rFonts w:ascii="Times New Roman" w:cs="Times New Roman" w:hAnsi="Times New Roman"/>
                <w:color w:val="000000"/>
                <w:sz w:val="22"/>
                <w:szCs w:val="22"/>
              </w:rPr>
              <w:t>8</w:t>
            </w:r>
          </w:p>
        </w:tc>
        <w:tc>
          <w:tcPr>
            <w:tcW w:w="12131" w:type="dxa"/>
            <w:vAlign w:val="center"/>
          </w:tcPr>
          <w:p>
            <w:pPr>
              <w:jc w:val="left"/>
              <w:rPr>
                <w:rFonts w:ascii="宋体" w:cs="宋体"/>
                <w:sz w:val="22"/>
              </w:rPr>
            </w:pPr>
            <w:r>
              <w:rPr>
                <w:rFonts w:ascii="宋体" w:cs="宋体"/>
                <w:sz w:val="22"/>
              </w:rPr>
              <w:t>CDC 13(2395)DTZS，双包环氧涂料规范，第一版。该坦桑尼亚标准草案规定了双组分环氧涂料的要求、取样和测试方法。该涂料适用于要求耐腐蚀和耐化学性的各种领域。</w:t>
            </w:r>
          </w:p>
        </w:tc>
      </w:tr>
      <w:tr>
        <w:trPr>
          <w:trHeight w:val="613"/>
        </w:trPr>
        <w:tc>
          <w:tcPr>
            <w:tcW w:w="1383" w:type="dxa"/>
            <w:vMerge/>
            <w:tcBorders>
              <w:tl2br w:val="nil"/>
              <w:tr2bl w:val="nil"/>
            </w:tcBorders>
            <w:vAlign w:val="center"/>
          </w:tcPr>
          <w:p/>
        </w:tc>
        <w:tc>
          <w:tcPr>
            <w:tcW w:w="659" w:type="dxa"/>
            <w:tcBorders>
              <w:top w:val="single" w:sz="4" w:space="0" w:color="000000"/>
              <w:left w:val="single" w:sz="4" w:space="0" w:color="000000"/>
              <w:right w:val="single" w:sz="4" w:space="0" w:color="000000"/>
            </w:tcBorders>
            <w:vAlign w:val="center"/>
          </w:tcPr>
          <w:p>
            <w:pPr>
              <w:jc w:val="center"/>
              <w:rPr>
                <w:rFonts w:ascii="Times New Roman" w:cs="Times New Roman" w:hAnsi="Times New Roman"/>
                <w:color w:val="000000"/>
                <w:sz w:val="22"/>
                <w:szCs w:val="22"/>
              </w:rPr>
            </w:pPr>
            <w:r>
              <w:rPr>
                <w:rFonts w:ascii="Times New Roman" w:cs="Times New Roman" w:hAnsi="Times New Roman"/>
                <w:color w:val="000000"/>
                <w:sz w:val="22"/>
                <w:szCs w:val="22"/>
              </w:rPr>
              <w:t>59</w:t>
            </w:r>
          </w:p>
        </w:tc>
        <w:tc>
          <w:tcPr>
            <w:tcW w:w="12131" w:type="dxa"/>
            <w:vAlign w:val="center"/>
          </w:tcPr>
          <w:p>
            <w:pPr>
              <w:jc w:val="left"/>
              <w:rPr>
                <w:rFonts w:ascii="宋体" w:cs="宋体"/>
                <w:sz w:val="22"/>
              </w:rPr>
            </w:pPr>
            <w:r>
              <w:rPr>
                <w:rFonts w:ascii="宋体" w:cs="宋体"/>
                <w:sz w:val="22"/>
              </w:rPr>
              <w:t>CDC 13（2390）DTZS，铝漆规范，第一版。本坦桑尼亚标准草案规定了用作外部和内部底漆表面面漆的铝漆的要求、取样和测试方法。这种涂料适合用作适当涂底漆或先前涂漆的镀锌铁的屋顶涂料。</w:t>
            </w:r>
          </w:p>
        </w:tc>
      </w:tr>
      <w:tr>
        <w:trPr>
          <w:trHeight w:val="301"/>
        </w:trPr>
        <w:tc>
          <w:tcPr>
            <w:tcW w:w="1383" w:type="dxa"/>
            <w:vMerge/>
            <w:tcBorders>
              <w:tl2br w:val="nil"/>
              <w:tr2bl w:val="nil"/>
            </w:tcBorders>
            <w:vAlign w:val="center"/>
          </w:tcPr>
          <w:p/>
        </w:tc>
        <w:tc>
          <w:tcPr>
            <w:tcW w:w="659" w:type="dxa"/>
            <w:tcBorders>
              <w:top w:val="single" w:sz="4" w:space="0" w:color="000000"/>
              <w:left w:val="single" w:sz="4" w:space="0" w:color="000000"/>
              <w:right w:val="single" w:sz="4" w:space="0" w:color="000000"/>
            </w:tcBorders>
            <w:vAlign w:val="center"/>
          </w:tcPr>
          <w:p>
            <w:pPr>
              <w:jc w:val="center"/>
              <w:rPr>
                <w:rFonts w:ascii="Times New Roman" w:cs="Times New Roman" w:hAnsi="Times New Roman"/>
                <w:color w:val="000000"/>
                <w:sz w:val="22"/>
                <w:szCs w:val="22"/>
              </w:rPr>
            </w:pPr>
            <w:r>
              <w:rPr>
                <w:rFonts w:ascii="Times New Roman" w:cs="Times New Roman" w:hAnsi="Times New Roman" w:hint="eastAsia"/>
                <w:color w:val="000000"/>
                <w:sz w:val="22"/>
                <w:szCs w:val="22"/>
              </w:rPr>
              <w:t>6</w:t>
            </w:r>
            <w:r>
              <w:rPr>
                <w:rFonts w:ascii="Times New Roman" w:cs="Times New Roman" w:hAnsi="Times New Roman"/>
                <w:color w:val="000000"/>
                <w:sz w:val="22"/>
                <w:szCs w:val="22"/>
              </w:rPr>
              <w:t>0</w:t>
            </w:r>
          </w:p>
        </w:tc>
        <w:tc>
          <w:tcPr>
            <w:tcW w:w="12131" w:type="dxa"/>
            <w:vAlign w:val="center"/>
          </w:tcPr>
          <w:p>
            <w:pPr>
              <w:jc w:val="left"/>
              <w:rPr>
                <w:rFonts w:ascii="宋体" w:cs="宋体"/>
                <w:sz w:val="22"/>
              </w:rPr>
            </w:pPr>
            <w:r>
              <w:rPr>
                <w:rFonts w:ascii="宋体" w:cs="宋体"/>
                <w:sz w:val="22"/>
              </w:rPr>
              <w:t>CDC 15(3748)DTZS，汽车生物柴油燃料规范，第三版。该坦桑尼亚标准草案规定了100%浓度用作柴油发动机车用柴油燃料的纯生物柴油（B100）的要求、取样和测试方法。在100%浓度下，它适用于设计或随后适于使用100%生物柴油运行的柴油车辆的燃料。</w:t>
            </w:r>
          </w:p>
        </w:tc>
      </w:tr>
      <w:tr>
        <w:trPr>
          <w:trHeight w:val="1012"/>
        </w:trPr>
        <w:tc>
          <w:tcPr>
            <w:tcW w:w="1383" w:type="dxa"/>
            <w:vMerge w:val="restart"/>
            <w:tcBorders>
              <w:tl2br w:val="nil"/>
              <w:tr2bl w:val="nil"/>
            </w:tcBorders>
            <w:vAlign w:val="center"/>
          </w:tcPr>
          <w:p>
            <w:pPr>
              <w:pStyle w:val="96"/>
              <w:jc w:val="center"/>
            </w:pPr>
            <w:r>
              <w:t>乌干达</w:t>
            </w:r>
          </w:p>
        </w:tc>
        <w:tc>
          <w:tcPr>
            <w:tcW w:w="659" w:type="dxa"/>
            <w:tcBorders>
              <w:top w:val="single" w:sz="4" w:space="0" w:color="000000"/>
              <w:left w:val="single" w:sz="4" w:space="0" w:color="000000"/>
              <w:right w:val="single" w:sz="4" w:space="0" w:color="000000"/>
            </w:tcBorders>
            <w:vAlign w:val="center"/>
          </w:tcPr>
          <w:p>
            <w:pPr>
              <w:jc w:val="center"/>
              <w:rPr>
                <w:rFonts w:ascii="Times New Roman" w:cs="Times New Roman" w:hAnsi="Times New Roman"/>
                <w:color w:val="000000"/>
                <w:sz w:val="22"/>
                <w:szCs w:val="22"/>
              </w:rPr>
            </w:pPr>
            <w:r>
              <w:rPr>
                <w:rFonts w:ascii="Times New Roman" w:cs="Times New Roman" w:hAnsi="Times New Roman" w:hint="eastAsia"/>
                <w:color w:val="000000"/>
                <w:sz w:val="22"/>
                <w:szCs w:val="22"/>
              </w:rPr>
              <w:t>6</w:t>
            </w:r>
            <w:r>
              <w:rPr>
                <w:rFonts w:ascii="Times New Roman" w:cs="Times New Roman" w:hAnsi="Times New Roman"/>
                <w:color w:val="000000"/>
                <w:sz w:val="22"/>
                <w:szCs w:val="22"/>
              </w:rPr>
              <w:t>1</w:t>
            </w:r>
          </w:p>
        </w:tc>
        <w:tc>
          <w:tcPr>
            <w:tcW w:w="12131" w:type="dxa"/>
            <w:vAlign w:val="center"/>
          </w:tcPr>
          <w:p>
            <w:pPr>
              <w:jc w:val="left"/>
              <w:rPr>
                <w:rFonts w:ascii="宋体" w:cs="宋体"/>
                <w:sz w:val="22"/>
              </w:rPr>
            </w:pPr>
            <w:r>
              <w:rPr>
                <w:rFonts w:ascii="宋体" w:cs="宋体"/>
                <w:sz w:val="22"/>
              </w:rPr>
              <w:t>DUS 2724：2025，用于再轧制成一般结构用途钢的碳钢铸坯锭、钢坯、大方坯和板坯-规范，第一版。本乌干达标准草案涵盖了碳钢铸锭、钢坯、大方坯、板坯以及再轧制成中高强度结构钢的要求。本标准的要求也应适用于连铸工艺生产的方坯、大方坯和板坯。碳钢铸造钢坯锭、钢坯、大方坯和板坯也可以以含铜质量供应。在这种情况下，钢应标有后缀Cu。</w:t>
            </w:r>
          </w:p>
        </w:tc>
      </w:tr>
      <w:tr>
        <w:trPr>
          <w:trHeight w:val="2173"/>
        </w:trPr>
        <w:tc>
          <w:tcPr>
            <w:tcW w:w="1383" w:type="dxa"/>
            <w:vMerge/>
            <w:tcBorders>
              <w:tl2br w:val="nil"/>
              <w:tr2bl w:val="nil"/>
            </w:tcBorders>
            <w:vAlign w:val="center"/>
          </w:tcPr>
          <w:p/>
        </w:tc>
        <w:tc>
          <w:tcPr>
            <w:tcW w:w="659" w:type="dxa"/>
            <w:tcBorders>
              <w:top w:val="single" w:sz="4" w:space="0" w:color="000000"/>
              <w:left w:val="single" w:sz="4" w:space="0" w:color="000000"/>
              <w:right w:val="single" w:sz="4" w:space="0" w:color="000000"/>
            </w:tcBorders>
            <w:vAlign w:val="center"/>
          </w:tcPr>
          <w:p>
            <w:pPr>
              <w:jc w:val="center"/>
              <w:rPr>
                <w:rFonts w:ascii="Times New Roman" w:cs="Times New Roman" w:hAnsi="Times New Roman"/>
                <w:color w:val="000000"/>
                <w:sz w:val="22"/>
                <w:szCs w:val="22"/>
              </w:rPr>
            </w:pPr>
            <w:r>
              <w:rPr>
                <w:rFonts w:ascii="Times New Roman" w:cs="Times New Roman" w:hAnsi="Times New Roman"/>
                <w:color w:val="000000"/>
                <w:sz w:val="22"/>
                <w:szCs w:val="22"/>
              </w:rPr>
              <w:t>62</w:t>
            </w:r>
          </w:p>
        </w:tc>
        <w:tc>
          <w:tcPr>
            <w:tcW w:w="12131" w:type="dxa"/>
            <w:vAlign w:val="center"/>
          </w:tcPr>
          <w:p>
            <w:pPr>
              <w:jc w:val="left"/>
              <w:rPr>
                <w:rFonts w:ascii="宋体" w:cs="宋体"/>
                <w:sz w:val="22"/>
              </w:rPr>
            </w:pPr>
            <w:r>
              <w:rPr>
                <w:rFonts w:ascii="宋体" w:cs="宋体"/>
                <w:sz w:val="22"/>
              </w:rPr>
              <w:t>DUS 2510：2025，火灾探测和报警系统消防控制设备，第一版。本标准规定了与安装在建筑物中的自动消防设备(a.f.p.e.)相连的消防控制设备(f.p.c.e.)的要求、试验方法和性能标准。联邦通信委员会。接收来自控制和指示设备的信号，向a.f.p.e.发送控制信号并指示其状况。控制信号用于启动自动消防设备，例如与灭火系统相关联的PUP、控制门、风门、风扇等。本标准描述了要求在所有f.p.c.e.上提供的强制性功能以及可选功能及其相关要求。按照应用指南中的建议，这些选项旨在用于特定应用。每个可选功能都作为一个独立的实体包含，具有自己的一组相关要求，以便允许f.p.c.e。本标准所涵盖的，具有不同的功能组合，以符合规定的要求。f.p.c.e.是必要的。遵守本标准将满足所有强制性功能的要求，以及提供的可选功能的要求。</w:t>
            </w:r>
          </w:p>
        </w:tc>
      </w:tr>
      <w:tr>
        <w:trPr>
          <w:trHeight w:val="925"/>
        </w:trPr>
        <w:tc>
          <w:tcPr>
            <w:tcW w:w="1383" w:type="dxa"/>
            <w:vMerge w:val="restart"/>
            <w:vAlign w:val="center"/>
          </w:tcPr>
          <w:p>
            <w:pPr>
              <w:pStyle w:val="97"/>
              <w:jc w:val="center"/>
              <w:textAlignment w:val="center"/>
              <w:rPr>
                <w:rFonts w:ascii="Times New Roman" w:cs="Times New Roman" w:hAnsi="Times New Roman"/>
                <w:color w:val="000000"/>
                <w:sz w:val="22"/>
                <w:szCs w:val="22"/>
              </w:rPr>
            </w:pPr>
            <w:r>
              <w:rPr>
                <w:rFonts w:ascii="Times New Roman" w:cs="Times New Roman" w:hAnsi="Times New Roman"/>
                <w:color w:val="000000"/>
                <w:sz w:val="22"/>
                <w:szCs w:val="22"/>
              </w:rPr>
              <w:t>约旦</w:t>
            </w:r>
          </w:p>
        </w:tc>
        <w:tc>
          <w:tcPr>
            <w:tcW w:w="659" w:type="dxa"/>
            <w:tcBorders>
              <w:top w:val="single" w:sz="4" w:space="0" w:color="000000"/>
              <w:left w:val="single" w:sz="4" w:space="0" w:color="000000"/>
              <w:right w:val="single" w:sz="4" w:space="0" w:color="000000"/>
            </w:tcBorders>
            <w:vAlign w:val="center"/>
          </w:tcPr>
          <w:p>
            <w:pPr>
              <w:jc w:val="center"/>
              <w:rPr>
                <w:rFonts w:ascii="Times New Roman" w:cs="Times New Roman" w:hAnsi="Times New Roman"/>
                <w:color w:val="000000"/>
                <w:sz w:val="22"/>
                <w:szCs w:val="22"/>
              </w:rPr>
            </w:pPr>
            <w:r>
              <w:rPr>
                <w:rFonts w:ascii="Times New Roman" w:cs="Times New Roman" w:hAnsi="Times New Roman"/>
                <w:color w:val="000000"/>
                <w:sz w:val="22"/>
                <w:szCs w:val="22"/>
              </w:rPr>
              <w:t>63</w:t>
            </w:r>
          </w:p>
        </w:tc>
        <w:tc>
          <w:tcPr>
            <w:tcW w:w="12131" w:type="dxa"/>
            <w:vAlign w:val="center"/>
          </w:tcPr>
          <w:p>
            <w:pPr>
              <w:jc w:val="left"/>
              <w:rPr>
                <w:rFonts w:ascii="宋体" w:cs="宋体"/>
                <w:sz w:val="22"/>
              </w:rPr>
            </w:pPr>
            <w:r>
              <w:rPr>
                <w:rFonts w:ascii="宋体" w:cs="宋体"/>
                <w:sz w:val="22"/>
              </w:rPr>
              <w:t>润滑油液压油HETG、HEPG、HEES、HEPR类别的规范。该约旦标准规定了环境可接受的液压油的要求，适用于液压系统，特别是液压油动力系统。本文件的目的是为环境可接受的液压流体的供应商和用户，以及液压系统的原始设备制造商提供指导和要求。该约旦标准规定了交付时环境可接受的液压油的要求。</w:t>
            </w:r>
          </w:p>
        </w:tc>
      </w:tr>
      <w:tr>
        <w:trPr>
          <w:trHeight w:val="1237"/>
        </w:trPr>
        <w:tc>
          <w:tcPr>
            <w:tcW w:w="1383" w:type="dxa"/>
            <w:vMerge/>
            <w:vAlign w:val="center"/>
          </w:tcPr>
          <w:p/>
        </w:tc>
        <w:tc>
          <w:tcPr>
            <w:tcW w:w="659" w:type="dxa"/>
            <w:tcBorders>
              <w:top w:val="single" w:sz="4" w:space="0" w:color="000000"/>
              <w:left w:val="single" w:sz="4" w:space="0" w:color="000000"/>
              <w:right w:val="single" w:sz="4" w:space="0" w:color="000000"/>
            </w:tcBorders>
            <w:vAlign w:val="center"/>
          </w:tcPr>
          <w:p>
            <w:pPr>
              <w:jc w:val="center"/>
              <w:rPr>
                <w:rFonts w:ascii="Times New Roman" w:cs="Times New Roman" w:hAnsi="Times New Roman"/>
                <w:color w:val="000000"/>
                <w:sz w:val="22"/>
                <w:szCs w:val="22"/>
              </w:rPr>
            </w:pPr>
            <w:r>
              <w:rPr>
                <w:rFonts w:ascii="Times New Roman" w:cs="Times New Roman" w:hAnsi="Times New Roman"/>
                <w:color w:val="000000"/>
                <w:sz w:val="22"/>
                <w:szCs w:val="22"/>
              </w:rPr>
              <w:t>64</w:t>
            </w:r>
          </w:p>
        </w:tc>
        <w:tc>
          <w:tcPr>
            <w:tcW w:w="12131" w:type="dxa"/>
            <w:vAlign w:val="center"/>
          </w:tcPr>
          <w:p>
            <w:pPr>
              <w:jc w:val="left"/>
              <w:rPr>
                <w:rFonts w:ascii="宋体" w:cs="宋体"/>
                <w:sz w:val="22"/>
              </w:rPr>
            </w:pPr>
            <w:r>
              <w:rPr>
                <w:rFonts w:ascii="宋体" w:cs="宋体"/>
                <w:sz w:val="22"/>
              </w:rPr>
              <w:t>润滑油液压油HFAE、HFAS、HFB、HFC、HFDR、HFDU类别的规范。该标准规定了一般工业应用中流体静力和流体动力系统对未使用的耐火和不易燃烧的液压油的要求。它为液压设备的供应商、最终用户和制造商提供指导。它定义了HFAE、HFAS、HFB、HFC、HFDR和HFDU类别的规格，包括：成分、粘度、含水量、防腐、弹性体相容性、耐火性、氧化和水解稳定性以及润滑性能。</w:t>
            </w:r>
          </w:p>
        </w:tc>
      </w:tr>
      <w:tr>
        <w:trPr>
          <w:trHeight w:val="301"/>
        </w:trPr>
        <w:tc>
          <w:tcPr>
            <w:tcW w:w="1383" w:type="dxa"/>
            <w:vMerge/>
            <w:vAlign w:val="center"/>
          </w:tcPr>
          <w:p/>
        </w:tc>
        <w:tc>
          <w:tcPr>
            <w:tcW w:w="659" w:type="dxa"/>
            <w:tcBorders>
              <w:top w:val="single" w:sz="4" w:space="0" w:color="000000"/>
              <w:left w:val="single" w:sz="4" w:space="0" w:color="000000"/>
              <w:right w:val="single" w:sz="4" w:space="0" w:color="000000"/>
            </w:tcBorders>
            <w:vAlign w:val="center"/>
          </w:tcPr>
          <w:p>
            <w:pPr>
              <w:jc w:val="center"/>
              <w:rPr>
                <w:rFonts w:ascii="Times New Roman" w:cs="Times New Roman" w:hAnsi="Times New Roman"/>
                <w:color w:val="000000"/>
                <w:sz w:val="22"/>
                <w:szCs w:val="22"/>
              </w:rPr>
            </w:pPr>
            <w:r>
              <w:rPr>
                <w:rFonts w:ascii="Times New Roman" w:cs="Times New Roman" w:hAnsi="Times New Roman"/>
                <w:color w:val="000000"/>
                <w:sz w:val="22"/>
                <w:szCs w:val="22"/>
              </w:rPr>
              <w:t>65</w:t>
            </w:r>
          </w:p>
        </w:tc>
        <w:tc>
          <w:tcPr>
            <w:tcW w:w="12131" w:type="dxa"/>
            <w:vAlign w:val="center"/>
          </w:tcPr>
          <w:p>
            <w:pPr>
              <w:jc w:val="left"/>
              <w:rPr>
                <w:rFonts w:ascii="宋体" w:cs="宋体"/>
                <w:sz w:val="22"/>
              </w:rPr>
            </w:pPr>
            <w:r>
              <w:rPr>
                <w:rFonts w:ascii="宋体" w:cs="宋体"/>
                <w:sz w:val="22"/>
              </w:rPr>
              <w:t>脂肪和油反式脂肪。本标准规定了供人食用的食品中反式脂肪含量的要求。</w:t>
            </w:r>
          </w:p>
        </w:tc>
      </w:tr>
      <w:tr>
        <w:trPr>
          <w:trHeight w:val="1237"/>
        </w:trPr>
        <w:tc>
          <w:tcPr>
            <w:tcW w:w="1383" w:type="dxa"/>
            <w:vMerge/>
            <w:vAlign w:val="center"/>
          </w:tcPr>
          <w:p/>
        </w:tc>
        <w:tc>
          <w:tcPr>
            <w:tcW w:w="659" w:type="dxa"/>
            <w:tcBorders>
              <w:top w:val="single" w:sz="4" w:space="0" w:color="000000"/>
              <w:left w:val="single" w:sz="4" w:space="0" w:color="000000"/>
              <w:right w:val="single" w:sz="4" w:space="0" w:color="000000"/>
            </w:tcBorders>
            <w:vAlign w:val="center"/>
          </w:tcPr>
          <w:p>
            <w:pPr>
              <w:pStyle w:val="47"/>
              <w:jc w:val="center"/>
              <w:rPr>
                <w:rFonts w:ascii="Times New Roman" w:cs="Times New Roman" w:hAnsi="Times New Roman"/>
                <w:color w:val="000000"/>
                <w:sz w:val="22"/>
                <w:szCs w:val="22"/>
              </w:rPr>
            </w:pPr>
            <w:r>
              <w:rPr>
                <w:rFonts w:ascii="Times New Roman" w:cs="Times New Roman" w:hAnsi="Times New Roman"/>
                <w:color w:val="000000"/>
                <w:sz w:val="22"/>
                <w:szCs w:val="22"/>
              </w:rPr>
              <w:t>66</w:t>
            </w:r>
          </w:p>
        </w:tc>
        <w:tc>
          <w:tcPr>
            <w:tcW w:w="12131" w:type="dxa"/>
            <w:vAlign w:val="center"/>
          </w:tcPr>
          <w:p>
            <w:pPr>
              <w:jc w:val="left"/>
              <w:rPr>
                <w:rFonts w:ascii="宋体" w:cs="宋体"/>
                <w:sz w:val="22"/>
              </w:rPr>
            </w:pPr>
            <w:r>
              <w:rPr>
                <w:rFonts w:ascii="宋体" w:cs="宋体"/>
                <w:sz w:val="22"/>
              </w:rPr>
              <w:t>剃须刀刀片规范。该标准规定了由碳钢、合金钢或不锈钢制造的用于剃须的双刃剃须刀刀片的要求，包括分离型和连接型。它根据厚度、尺寸要求、制造和精加工条件、化学成分限制和性能特征定义叶片类型。该标准还概述了检查和测试方法，包括显微镜检查、化学分析、硬度、柔韧性、耐腐蚀性和剃须性能测试。此外，参考相关国家和国际标准，它规定了抽样计划和验收标准、包装和标签要求以及产品标签上应包含的强制性信息。</w:t>
            </w:r>
          </w:p>
        </w:tc>
      </w:tr>
      <w:tr>
        <w:trPr>
          <w:trHeight w:val="301"/>
        </w:trPr>
        <w:tc>
          <w:tcPr>
            <w:tcW w:w="1383" w:type="dxa"/>
            <w:vMerge/>
            <w:vAlign w:val="center"/>
          </w:tcPr>
          <w:p/>
        </w:tc>
        <w:tc>
          <w:tcPr>
            <w:tcW w:w="659" w:type="dxa"/>
            <w:tcBorders>
              <w:top w:val="single" w:sz="4" w:space="0" w:color="000000"/>
              <w:left w:val="single" w:sz="4" w:space="0" w:color="000000"/>
              <w:right w:val="single" w:sz="4" w:space="0" w:color="000000"/>
            </w:tcBorders>
            <w:vAlign w:val="center"/>
          </w:tcPr>
          <w:p>
            <w:pPr>
              <w:pStyle w:val="48"/>
              <w:jc w:val="center"/>
              <w:rPr>
                <w:rFonts w:ascii="Times New Roman" w:cs="Times New Roman" w:hAnsi="Times New Roman"/>
                <w:color w:val="000000"/>
                <w:sz w:val="22"/>
                <w:szCs w:val="22"/>
              </w:rPr>
            </w:pPr>
            <w:r>
              <w:rPr>
                <w:rFonts w:ascii="Times New Roman" w:cs="Times New Roman" w:hAnsi="Times New Roman"/>
                <w:color w:val="000000"/>
                <w:sz w:val="22"/>
                <w:szCs w:val="22"/>
              </w:rPr>
              <w:t>67</w:t>
            </w:r>
          </w:p>
        </w:tc>
        <w:tc>
          <w:tcPr>
            <w:tcW w:w="12131" w:type="dxa"/>
            <w:vAlign w:val="center"/>
          </w:tcPr>
          <w:p>
            <w:pPr>
              <w:jc w:val="left"/>
              <w:rPr>
                <w:rFonts w:ascii="宋体" w:cs="宋体"/>
                <w:sz w:val="22"/>
              </w:rPr>
            </w:pPr>
            <w:r>
              <w:rPr>
                <w:rFonts w:ascii="宋体" w:cs="宋体"/>
                <w:sz w:val="22"/>
              </w:rPr>
              <w:t>混凝土加固用变形和普通碳素钢棒的标准规范。本技术法规规定了用于混凝土加固的变形和普通碳钢筋的强制性要求，无论是直切长度还是成卷供应。它涵盖了与材料和制造、化学成分、横向肋几何形状和尺寸以及机械性能相关的要求。该法规还定义了尺寸要求、单位长度质量和允许公差，以及测试、取样、测试和重新测试次数、检查程序、拒绝和上诉、标记和标签的规定。本文件旨在确保混凝土结构中碳钢钢筋的质量、安全性和适用性。</w:t>
            </w:r>
          </w:p>
        </w:tc>
      </w:tr>
      <w:tr>
        <w:trPr>
          <w:trHeight w:val="301"/>
        </w:trPr>
        <w:tc>
          <w:tcPr>
            <w:tcW w:w="1383" w:type="dxa"/>
            <w:tcBorders>
              <w:tl2br w:val="nil"/>
              <w:tr2bl w:val="nil"/>
            </w:tcBorders>
            <w:vAlign w:val="center"/>
          </w:tcPr>
          <w:p>
            <w:pPr>
              <w:jc w:val="center"/>
              <w:textAlignment w:val="center"/>
              <w:rPr>
                <w:rFonts w:ascii="Times New Roman" w:cs="Times New Roman" w:hAnsi="Times New Roman"/>
                <w:color w:val="000000"/>
                <w:sz w:val="22"/>
                <w:szCs w:val="22"/>
              </w:rPr>
            </w:pPr>
            <w:r>
              <w:rPr>
                <w:rFonts w:ascii="Times New Roman" w:cs="Times New Roman" w:hAnsi="Times New Roman"/>
                <w:color w:val="000000"/>
                <w:sz w:val="22"/>
                <w:szCs w:val="22"/>
              </w:rPr>
              <w:t>英国</w:t>
            </w:r>
          </w:p>
        </w:tc>
        <w:tc>
          <w:tcPr>
            <w:tcW w:w="659" w:type="dxa"/>
            <w:tcBorders>
              <w:top w:val="single" w:sz="4" w:space="0" w:color="000000"/>
              <w:left w:val="single" w:sz="4" w:space="0" w:color="000000"/>
              <w:right w:val="single" w:sz="4" w:space="0" w:color="000000"/>
            </w:tcBorders>
            <w:vAlign w:val="center"/>
          </w:tcPr>
          <w:p>
            <w:pPr>
              <w:pStyle w:val="49"/>
              <w:jc w:val="center"/>
              <w:rPr>
                <w:rFonts w:ascii="Times New Roman" w:cs="Times New Roman" w:hAnsi="Times New Roman"/>
                <w:color w:val="000000"/>
                <w:sz w:val="22"/>
                <w:szCs w:val="22"/>
              </w:rPr>
            </w:pPr>
            <w:r>
              <w:rPr>
                <w:rFonts w:ascii="Times New Roman" w:cs="Times New Roman" w:hAnsi="Times New Roman"/>
                <w:color w:val="000000"/>
                <w:sz w:val="22"/>
                <w:szCs w:val="22"/>
              </w:rPr>
              <w:t>68</w:t>
            </w:r>
          </w:p>
        </w:tc>
        <w:tc>
          <w:tcPr>
            <w:tcW w:w="12131" w:type="dxa"/>
            <w:vAlign w:val="center"/>
          </w:tcPr>
          <w:p>
            <w:pPr>
              <w:rPr>
                <w:rFonts w:ascii="宋体" w:cs="宋体"/>
                <w:sz w:val="22"/>
              </w:rPr>
            </w:pPr>
            <w:r>
              <w:rPr>
                <w:rFonts w:ascii="宋体" w:cs="宋体"/>
                <w:sz w:val="22"/>
              </w:rPr>
              <w:t>2026年能源智能电器法规。这是英国打算根据《2023年能源法》制定法规的正式通知。该法规对相关电加热设备引入了smart强制要求。该条例还将撤销《2021年电动汽车（智能充电点）条例》，并通过一些计划修正案纳入现有的电动汽车智能充电点要求。该法规还对范围内的能源智能设备提出了最低功能、网络和电网稳定性要求。这些法规将于2026年在第二季度提交议会，大部分条款将于2028年1月生效，以便给行业足够的时间进行适应。</w:t>
            </w:r>
          </w:p>
        </w:tc>
      </w:tr>
      <w:tr>
        <w:trPr>
          <w:trHeight w:val="925"/>
        </w:trPr>
        <w:tc>
          <w:tcPr>
            <w:tcW w:w="1383" w:type="dxa"/>
            <w:vMerge w:val="restart"/>
            <w:tcBorders>
              <w:tl2br w:val="nil"/>
              <w:tr2bl w:val="nil"/>
            </w:tcBorders>
            <w:vAlign w:val="center"/>
          </w:tcPr>
          <w:p>
            <w:pPr>
              <w:pStyle w:val="98"/>
              <w:jc w:val="center"/>
              <w:textAlignment w:val="center"/>
              <w:rPr>
                <w:rFonts w:ascii="Times New Roman" w:cs="Times New Roman" w:hAnsi="Times New Roman"/>
                <w:color w:val="000000"/>
                <w:sz w:val="22"/>
                <w:szCs w:val="22"/>
              </w:rPr>
            </w:pPr>
            <w:r>
              <w:rPr>
                <w:rFonts w:ascii="Times New Roman" w:cs="Times New Roman" w:hAnsi="Times New Roman"/>
                <w:color w:val="000000"/>
                <w:sz w:val="22"/>
                <w:szCs w:val="22"/>
              </w:rPr>
              <w:t>越南</w:t>
            </w:r>
          </w:p>
        </w:tc>
        <w:tc>
          <w:tcPr>
            <w:tcW w:w="659" w:type="dxa"/>
            <w:tcBorders>
              <w:top w:val="single" w:sz="4" w:space="0" w:color="000000"/>
              <w:left w:val="single" w:sz="4" w:space="0" w:color="000000"/>
              <w:right w:val="single" w:sz="4" w:space="0" w:color="000000"/>
            </w:tcBorders>
            <w:vAlign w:val="center"/>
          </w:tcPr>
          <w:p>
            <w:pPr>
              <w:pStyle w:val="50"/>
              <w:jc w:val="center"/>
              <w:rPr>
                <w:rFonts w:ascii="Times New Roman" w:cs="Times New Roman" w:hAnsi="Times New Roman"/>
                <w:color w:val="000000"/>
                <w:sz w:val="22"/>
                <w:szCs w:val="22"/>
              </w:rPr>
            </w:pPr>
            <w:r>
              <w:rPr>
                <w:rFonts w:ascii="Times New Roman" w:cs="Times New Roman" w:hAnsi="Times New Roman"/>
                <w:color w:val="000000"/>
                <w:sz w:val="22"/>
                <w:szCs w:val="22"/>
              </w:rPr>
              <w:t>69</w:t>
            </w:r>
          </w:p>
        </w:tc>
        <w:tc>
          <w:tcPr>
            <w:tcW w:w="12131" w:type="dxa"/>
            <w:vAlign w:val="center"/>
          </w:tcPr>
          <w:p>
            <w:pPr>
              <w:jc w:val="left"/>
              <w:rPr>
                <w:rFonts w:ascii="宋体" w:cs="宋体"/>
                <w:sz w:val="22"/>
              </w:rPr>
            </w:pPr>
            <w:r>
              <w:rPr>
                <w:rFonts w:ascii="宋体" w:cs="宋体"/>
                <w:sz w:val="22"/>
              </w:rPr>
              <w:t xml:space="preserve">电动摩托车、轻便摩托车用电机国家技术法规草案。该国家技术法规草案规定了适用于电动摩托车和电动轻便摩托车使用的新型电动机的生产、组装和进口的技术安全和环保质量的检验、试验、认证的技术要求。本国家技术法规草案适用于：国内制造和装配企业；进口电动机的组织和个人；从事电动机技术安全和环保质量管理、检验、测试、认证的组织和个人。 </w:t>
            </w:r>
          </w:p>
        </w:tc>
      </w:tr>
      <w:tr>
        <w:trPr>
          <w:trHeight w:val="1549"/>
        </w:trPr>
        <w:tc>
          <w:tcPr>
            <w:tcW w:w="1383" w:type="dxa"/>
            <w:vMerge/>
            <w:tcBorders>
              <w:tl2br w:val="nil"/>
              <w:tr2bl w:val="nil"/>
            </w:tcBorders>
            <w:vAlign w:val="center"/>
          </w:tcPr>
          <w:p/>
        </w:tc>
        <w:tc>
          <w:tcPr>
            <w:tcW w:w="659" w:type="dxa"/>
            <w:tcBorders>
              <w:top w:val="single" w:sz="4" w:space="0" w:color="000000"/>
              <w:left w:val="single" w:sz="4" w:space="0" w:color="000000"/>
              <w:right w:val="single" w:sz="4" w:space="0" w:color="000000"/>
            </w:tcBorders>
            <w:vAlign w:val="center"/>
          </w:tcPr>
          <w:p>
            <w:pPr>
              <w:pStyle w:val="50"/>
              <w:jc w:val="center"/>
              <w:rPr>
                <w:rFonts w:ascii="Times New Roman" w:cs="Times New Roman" w:hAnsi="Times New Roman"/>
                <w:color w:val="000000"/>
                <w:sz w:val="22"/>
                <w:szCs w:val="22"/>
              </w:rPr>
            </w:pPr>
            <w:r>
              <w:rPr>
                <w:rFonts w:ascii="Times New Roman" w:cs="Times New Roman" w:hAnsi="Times New Roman"/>
                <w:color w:val="000000"/>
                <w:sz w:val="22"/>
                <w:szCs w:val="22"/>
              </w:rPr>
              <w:t>70</w:t>
            </w:r>
          </w:p>
        </w:tc>
        <w:tc>
          <w:tcPr>
            <w:tcW w:w="12131" w:type="dxa"/>
            <w:vAlign w:val="center"/>
          </w:tcPr>
          <w:p>
            <w:pPr>
              <w:jc w:val="left"/>
              <w:rPr>
                <w:rFonts w:ascii="宋体" w:cs="宋体"/>
                <w:sz w:val="22"/>
              </w:rPr>
            </w:pPr>
            <w:r>
              <w:rPr>
                <w:rFonts w:ascii="宋体" w:cs="宋体"/>
                <w:sz w:val="22"/>
              </w:rPr>
              <w:t>国家液态奶产品技术法规草案。本国家技术法规草案规定了液态奶产品理化指标限值、安全性和管理要求，包括：巴氏杀菌或灭菌的新鲜全脂奶；巴氏杀菌或灭菌的鲜奶；巴氏杀菌或灭菌的部分脱脂或脱脂牛奶；重构或重组乳；复合乳；淡炼乳；加糖炼乳；蒸发脱脂乳和植物脂肪的混合物；加糖的浓缩脱脂牛奶和植物脂肪的混合物。本国家技术法规草案不适用于36个月以下儿童的配方乳品、婴幼儿特殊医学用途配方乳品和功能性食品。本国家技术法规草案适用于在越南从事液态奶产品生产、贸易和进口的组织和个人，以及其他相关主体。</w:t>
            </w:r>
          </w:p>
        </w:tc>
      </w:tr>
      <w:tr>
        <w:trPr>
          <w:trHeight w:val="925"/>
        </w:trPr>
        <w:tc>
          <w:tcPr>
            <w:tcW w:w="1383" w:type="dxa"/>
            <w:vMerge/>
            <w:tcBorders>
              <w:tl2br w:val="nil"/>
              <w:tr2bl w:val="nil"/>
            </w:tcBorders>
            <w:vAlign w:val="center"/>
          </w:tcPr>
          <w:p/>
        </w:tc>
        <w:tc>
          <w:tcPr>
            <w:tcW w:w="659" w:type="dxa"/>
            <w:tcBorders>
              <w:top w:val="single" w:sz="4" w:space="0" w:color="000000"/>
              <w:left w:val="single" w:sz="4" w:space="0" w:color="000000"/>
              <w:right w:val="single" w:sz="4" w:space="0" w:color="000000"/>
            </w:tcBorders>
            <w:vAlign w:val="center"/>
          </w:tcPr>
          <w:p>
            <w:pPr>
              <w:pStyle w:val="50"/>
              <w:jc w:val="center"/>
              <w:rPr>
                <w:rFonts w:ascii="Times New Roman" w:cs="Times New Roman" w:hAnsi="Times New Roman"/>
                <w:color w:val="000000"/>
                <w:sz w:val="22"/>
                <w:szCs w:val="22"/>
              </w:rPr>
            </w:pPr>
            <w:r>
              <w:rPr>
                <w:rFonts w:ascii="Times New Roman" w:cs="Times New Roman" w:hAnsi="Times New Roman"/>
                <w:color w:val="000000"/>
                <w:sz w:val="22"/>
                <w:szCs w:val="22"/>
              </w:rPr>
              <w:t>71</w:t>
            </w:r>
          </w:p>
        </w:tc>
        <w:tc>
          <w:tcPr>
            <w:tcW w:w="12131" w:type="dxa"/>
            <w:vAlign w:val="center"/>
          </w:tcPr>
          <w:p>
            <w:pPr>
              <w:jc w:val="left"/>
              <w:rPr>
                <w:rFonts w:ascii="宋体" w:cs="宋体"/>
                <w:sz w:val="22"/>
              </w:rPr>
            </w:pPr>
            <w:r>
              <w:rPr>
                <w:rFonts w:ascii="宋体" w:cs="宋体"/>
                <w:sz w:val="22"/>
              </w:rPr>
              <w:t>国家酒精饮料技术法规草案。该国家技术法规草案规定了用于生产酒精饮料和酒精饮料产品的食用酒精的食品安全指标和管理要求的最高水平。本国家技术法规草案适用于在越南境内从事酒类饮料产品生产、贸易、进口的组织和个人以及其他相关组织和个人。</w:t>
            </w:r>
          </w:p>
        </w:tc>
      </w:tr>
      <w:tr>
        <w:trPr>
          <w:trHeight w:val="925"/>
        </w:trPr>
        <w:tc>
          <w:tcPr>
            <w:tcW w:w="1383" w:type="dxa"/>
            <w:vMerge/>
            <w:tcBorders>
              <w:tl2br w:val="nil"/>
              <w:tr2bl w:val="nil"/>
            </w:tcBorders>
            <w:vAlign w:val="center"/>
          </w:tcPr>
          <w:p/>
        </w:tc>
        <w:tc>
          <w:tcPr>
            <w:tcW w:w="659" w:type="dxa"/>
            <w:tcBorders>
              <w:top w:val="single" w:sz="4" w:space="0" w:color="000000"/>
              <w:left w:val="single" w:sz="4" w:space="0" w:color="000000"/>
              <w:right w:val="single" w:sz="4" w:space="0" w:color="000000"/>
            </w:tcBorders>
            <w:vAlign w:val="center"/>
          </w:tcPr>
          <w:p>
            <w:pPr>
              <w:pStyle w:val="50"/>
              <w:jc w:val="center"/>
              <w:rPr>
                <w:rFonts w:ascii="Times New Roman" w:cs="Times New Roman" w:hAnsi="Times New Roman"/>
                <w:color w:val="000000"/>
                <w:sz w:val="22"/>
                <w:szCs w:val="22"/>
              </w:rPr>
            </w:pPr>
            <w:r>
              <w:rPr>
                <w:rFonts w:ascii="Times New Roman" w:cs="Times New Roman" w:hAnsi="Times New Roman"/>
                <w:color w:val="000000"/>
                <w:sz w:val="22"/>
                <w:szCs w:val="22"/>
              </w:rPr>
              <w:t>72</w:t>
            </w:r>
          </w:p>
        </w:tc>
        <w:tc>
          <w:tcPr>
            <w:tcW w:w="12131" w:type="dxa"/>
            <w:vAlign w:val="center"/>
          </w:tcPr>
          <w:p>
            <w:pPr>
              <w:jc w:val="left"/>
              <w:rPr>
                <w:rFonts w:ascii="宋体" w:cs="宋体"/>
                <w:sz w:val="22"/>
              </w:rPr>
            </w:pPr>
            <w:r>
              <w:rPr>
                <w:rFonts w:ascii="宋体" w:cs="宋体"/>
                <w:sz w:val="22"/>
              </w:rPr>
              <w:t>电动摩托车、轻便摩托车牵引电池国家技术法规草案。该国家技术法规草案规定了适用于新型电动摩托车和电动轻便摩托车所用蓄电池的生产、组装和进口的技术安全和环保质量检验、检测、认证的技术要求。本国家技术法规草案适用于：国内制造和装配企业；进口电池的组织和个人；以及从事电池技术安全和环保质量管理、检验、检测、认证的组织和个人。</w:t>
            </w:r>
          </w:p>
        </w:tc>
      </w:tr>
      <w:tr>
        <w:trPr>
          <w:trHeight w:val="1249"/>
        </w:trPr>
        <w:tc>
          <w:tcPr>
            <w:tcW w:w="1383" w:type="dxa"/>
            <w:vMerge/>
            <w:tcBorders>
              <w:tl2br w:val="nil"/>
              <w:tr2bl w:val="nil"/>
            </w:tcBorders>
            <w:vAlign w:val="center"/>
          </w:tcPr>
          <w:p/>
        </w:tc>
        <w:tc>
          <w:tcPr>
            <w:tcW w:w="659" w:type="dxa"/>
            <w:tcBorders>
              <w:top w:val="single" w:sz="4" w:space="0" w:color="000000"/>
              <w:left w:val="single" w:sz="4" w:space="0" w:color="000000"/>
              <w:right w:val="single" w:sz="4" w:space="0" w:color="000000"/>
            </w:tcBorders>
            <w:vAlign w:val="center"/>
          </w:tcPr>
          <w:p>
            <w:pPr>
              <w:pStyle w:val="50"/>
              <w:jc w:val="center"/>
              <w:rPr>
                <w:rFonts w:ascii="Times New Roman" w:cs="Times New Roman" w:hAnsi="Times New Roman"/>
                <w:color w:val="000000"/>
                <w:sz w:val="22"/>
                <w:szCs w:val="22"/>
              </w:rPr>
            </w:pPr>
            <w:r>
              <w:rPr>
                <w:rFonts w:ascii="Times New Roman" w:cs="Times New Roman" w:hAnsi="Times New Roman"/>
                <w:color w:val="000000"/>
                <w:sz w:val="22"/>
                <w:szCs w:val="22"/>
              </w:rPr>
              <w:t>73</w:t>
            </w:r>
          </w:p>
        </w:tc>
        <w:tc>
          <w:tcPr>
            <w:tcW w:w="12131" w:type="dxa"/>
            <w:vAlign w:val="center"/>
          </w:tcPr>
          <w:p>
            <w:pPr>
              <w:jc w:val="left"/>
              <w:rPr>
                <w:rFonts w:ascii="宋体" w:cs="宋体"/>
                <w:sz w:val="22"/>
              </w:rPr>
            </w:pPr>
            <w:r>
              <w:rPr>
                <w:rFonts w:ascii="宋体" w:cs="宋体"/>
                <w:sz w:val="22"/>
              </w:rPr>
              <w:t>国家精炼植物油技术法规草案。本次国家技术法规草案规定了精炼植物油理化指标限值、安全性和管理要求，包括：花生油；椰子油；棉籽油；玉米油；棕榈油；棕榈仁油；棕榈油精；棕榈硬脂；棕榈超油酸；菜籽油；红花籽油；芝麻油；大豆油；橄榄油；米糠油；葵花籽油。本技术规程不适用于粗植物油。本规定适用于：从事与精炼植物油有关的生产、贸易、进出口活动的组织和个人。</w:t>
            </w:r>
          </w:p>
        </w:tc>
      </w:tr>
      <w:tr>
        <w:trPr>
          <w:trHeight w:val="1237"/>
        </w:trPr>
        <w:tc>
          <w:tcPr>
            <w:tcW w:w="1383" w:type="dxa"/>
            <w:vMerge w:val="restart"/>
            <w:tcBorders>
              <w:tl2br w:val="nil"/>
              <w:tr2bl w:val="nil"/>
            </w:tcBorders>
            <w:vAlign w:val="center"/>
          </w:tcPr>
          <w:p>
            <w:pPr>
              <w:pStyle w:val="99"/>
              <w:jc w:val="center"/>
              <w:textAlignment w:val="center"/>
              <w:rPr>
                <w:rFonts w:ascii="Times New Roman" w:cs="Times New Roman" w:hAnsi="Times New Roman"/>
                <w:color w:val="000000"/>
                <w:sz w:val="22"/>
                <w:szCs w:val="22"/>
              </w:rPr>
            </w:pPr>
            <w:r>
              <w:rPr>
                <w:rFonts w:ascii="Times New Roman" w:cs="Times New Roman" w:hAnsi="Times New Roman"/>
                <w:color w:val="000000"/>
                <w:sz w:val="22"/>
                <w:szCs w:val="22"/>
              </w:rPr>
              <w:t>智利</w:t>
            </w:r>
          </w:p>
        </w:tc>
        <w:tc>
          <w:tcPr>
            <w:tcW w:w="659" w:type="dxa"/>
            <w:tcBorders>
              <w:top w:val="single" w:sz="4" w:space="0" w:color="000000"/>
              <w:left w:val="single" w:sz="4" w:space="0" w:color="000000"/>
              <w:right w:val="single" w:sz="4" w:space="0" w:color="000000"/>
            </w:tcBorders>
            <w:vAlign w:val="center"/>
          </w:tcPr>
          <w:p>
            <w:pPr>
              <w:pStyle w:val="50"/>
              <w:jc w:val="center"/>
              <w:rPr>
                <w:rFonts w:ascii="Times New Roman" w:cs="Times New Roman" w:hAnsi="Times New Roman"/>
                <w:color w:val="000000"/>
                <w:sz w:val="22"/>
                <w:szCs w:val="22"/>
              </w:rPr>
            </w:pPr>
            <w:r>
              <w:rPr>
                <w:rFonts w:ascii="Times New Roman" w:cs="Times New Roman" w:hAnsi="Times New Roman"/>
                <w:color w:val="000000"/>
                <w:sz w:val="22"/>
                <w:szCs w:val="22"/>
              </w:rPr>
              <w:t>74</w:t>
            </w:r>
          </w:p>
        </w:tc>
        <w:tc>
          <w:tcPr>
            <w:tcW w:w="12131" w:type="dxa"/>
            <w:vAlign w:val="center"/>
          </w:tcPr>
          <w:p>
            <w:pPr>
              <w:jc w:val="left"/>
              <w:rPr>
                <w:rFonts w:ascii="宋体" w:cs="宋体"/>
                <w:sz w:val="22"/>
              </w:rPr>
            </w:pPr>
            <w:r>
              <w:rPr>
                <w:rFonts w:ascii="宋体" w:cs="宋体"/>
                <w:sz w:val="22"/>
              </w:rPr>
              <w:t xml:space="preserve">NCh 2440：2023路面沥青分类和要求。本标准规定了路面沥青的分类，包括用于指定每种材料的符号，还规定了用于路面施工和维护的不同类型沥青必须满足的要求。本标准适用于道路、护堤、自行车道、人行道、停车区、集装箱停车场海滩、工业场地、运动场、铁路、牲畜区、跑道、桥头以及机场或直升机场的飞机停放区等的建设和维护。本标准不适用于路面以外用途的沥青材料。 </w:t>
            </w:r>
          </w:p>
        </w:tc>
      </w:tr>
      <w:tr>
        <w:trPr>
          <w:trHeight w:val="2527"/>
        </w:trPr>
        <w:tc>
          <w:tcPr>
            <w:tcW w:w="1383" w:type="dxa"/>
            <w:vMerge/>
            <w:tcBorders>
              <w:tl2br w:val="nil"/>
              <w:tr2bl w:val="nil"/>
            </w:tcBorders>
            <w:vAlign w:val="center"/>
          </w:tcPr>
          <w:p/>
        </w:tc>
        <w:tc>
          <w:tcPr>
            <w:tcW w:w="659" w:type="dxa"/>
            <w:tcBorders>
              <w:top w:val="single" w:sz="4" w:space="0" w:color="000000"/>
              <w:left w:val="single" w:sz="4" w:space="0" w:color="000000"/>
              <w:right w:val="single" w:sz="4" w:space="0" w:color="000000"/>
            </w:tcBorders>
            <w:vAlign w:val="center"/>
          </w:tcPr>
          <w:p>
            <w:pPr>
              <w:pStyle w:val="50"/>
              <w:jc w:val="center"/>
              <w:rPr>
                <w:rFonts w:ascii="Times New Roman" w:cs="Times New Roman" w:hAnsi="Times New Roman"/>
                <w:color w:val="000000"/>
                <w:sz w:val="22"/>
                <w:szCs w:val="22"/>
              </w:rPr>
            </w:pPr>
            <w:r>
              <w:rPr>
                <w:rFonts w:ascii="Times New Roman" w:cs="Times New Roman" w:hAnsi="Times New Roman"/>
                <w:color w:val="000000"/>
                <w:sz w:val="22"/>
                <w:szCs w:val="22"/>
              </w:rPr>
              <w:t>75</w:t>
            </w:r>
          </w:p>
        </w:tc>
        <w:tc>
          <w:tcPr>
            <w:tcW w:w="12131" w:type="dxa"/>
            <w:vAlign w:val="center"/>
          </w:tcPr>
          <w:p>
            <w:pPr>
              <w:jc w:val="left"/>
              <w:rPr>
                <w:rFonts w:ascii="宋体" w:cs="宋体"/>
                <w:sz w:val="22"/>
              </w:rPr>
            </w:pPr>
            <w:r>
              <w:rPr>
                <w:rFonts w:ascii="宋体" w:cs="宋体"/>
                <w:sz w:val="22"/>
              </w:rPr>
              <w:t xml:space="preserve">批准对影响驾驶和操作机器能力的药品的标签和患者和专业信息传单的修改要求。该决议响应了一项关键和紧迫的公共卫生当务之急。智利的道路事故平均每年夺去2000人的生命。与国家交通安全委员会合作开展的技术工作表明，鉴于物质的使用和疲劳是道路死亡率的一个相关因素，迫切需要使某些药物对驾驶的影响可见。该标准旨在使我们的要求与高标准法规相协调，减少受监管法规的技术不确定性。药品健康注册申请人在输入其要求时，将被要求遵守以下指南：a)审查、评估、报告和声明您接受健康注册程序的产品是否符合可能影响驾驶能力的药品。如果要注册的药品包含在参考清单中，则必须将其纳入辅助包装的标签项目中所附决议中显示的象形图。辅助包装的任何面必须包含驾驶象形图，该象形图由顶点朝上的红色等边三角形和白色背景上的黑色车辆组成，并带有图例“驾驶注意：参见手册”。c)此外，如果要注册的产品属于参考清单中的产品之一，则有关药物影响驾驶车辆和机械操作能力的信息必须包含在患者和专业人员信息手册中。 </w:t>
            </w:r>
          </w:p>
        </w:tc>
      </w:tr>
      <w:tr>
        <w:trPr>
          <w:trHeight w:val="1237"/>
        </w:trPr>
        <w:tc>
          <w:tcPr>
            <w:tcW w:w="1383" w:type="dxa"/>
            <w:vMerge/>
            <w:tcBorders>
              <w:tl2br w:val="nil"/>
              <w:tr2bl w:val="nil"/>
            </w:tcBorders>
            <w:vAlign w:val="center"/>
          </w:tcPr>
          <w:p/>
        </w:tc>
        <w:tc>
          <w:tcPr>
            <w:tcW w:w="659" w:type="dxa"/>
            <w:tcBorders>
              <w:top w:val="single" w:sz="4" w:space="0" w:color="000000"/>
              <w:left w:val="single" w:sz="4" w:space="0" w:color="000000"/>
              <w:right w:val="single" w:sz="4" w:space="0" w:color="000000"/>
            </w:tcBorders>
            <w:vAlign w:val="center"/>
          </w:tcPr>
          <w:p>
            <w:pPr>
              <w:pStyle w:val="50"/>
              <w:jc w:val="center"/>
              <w:rPr>
                <w:rFonts w:ascii="Times New Roman" w:cs="Times New Roman" w:hAnsi="Times New Roman"/>
                <w:color w:val="000000"/>
                <w:sz w:val="22"/>
                <w:szCs w:val="22"/>
              </w:rPr>
            </w:pPr>
            <w:r>
              <w:rPr>
                <w:rFonts w:ascii="Times New Roman" w:cs="Times New Roman" w:hAnsi="Times New Roman"/>
                <w:color w:val="000000"/>
                <w:sz w:val="22"/>
                <w:szCs w:val="22"/>
              </w:rPr>
              <w:t>76</w:t>
            </w:r>
          </w:p>
        </w:tc>
        <w:tc>
          <w:tcPr>
            <w:tcW w:w="12131" w:type="dxa"/>
            <w:vAlign w:val="center"/>
          </w:tcPr>
          <w:p>
            <w:pPr>
              <w:jc w:val="left"/>
              <w:rPr>
                <w:rFonts w:ascii="宋体" w:cs="宋体"/>
                <w:sz w:val="22"/>
              </w:rPr>
            </w:pPr>
            <w:r>
              <w:rPr>
                <w:rFonts w:ascii="宋体" w:cs="宋体"/>
                <w:sz w:val="22"/>
              </w:rPr>
              <w:t>就修订《食品卫生条例》第二章食品标签和广告第二段第118条的提案进行磋商。对《食品卫生条例》第二章《食品》第二款《标签和广告》第118条的拟议修改旨在更新、规范本条与同一条例的其他特殊制度相一致。第977/96号法令正式生效后，发布了第393/02号和第394/02号决议，详细规范了这些事项，并纳入了如何在标签中表达能量、纤维、蛋白质、维生素和矿物质的规范</w:t>
            </w:r>
          </w:p>
        </w:tc>
      </w:tr>
      <w:tr>
        <w:trPr>
          <w:trHeight w:val="301"/>
        </w:trPr>
        <w:tc>
          <w:tcPr>
            <w:tcW w:w="1383" w:type="dxa"/>
            <w:vMerge/>
            <w:tcBorders>
              <w:tl2br w:val="nil"/>
              <w:tr2bl w:val="nil"/>
            </w:tcBorders>
            <w:vAlign w:val="center"/>
          </w:tcPr>
          <w:p/>
        </w:tc>
        <w:tc>
          <w:tcPr>
            <w:tcW w:w="659" w:type="dxa"/>
            <w:tcBorders>
              <w:top w:val="single" w:sz="4" w:space="0" w:color="000000"/>
              <w:left w:val="single" w:sz="4" w:space="0" w:color="000000"/>
              <w:right w:val="single" w:sz="4" w:space="0" w:color="000000"/>
            </w:tcBorders>
            <w:vAlign w:val="center"/>
          </w:tcPr>
          <w:p>
            <w:pPr>
              <w:pStyle w:val="50"/>
              <w:jc w:val="center"/>
              <w:rPr>
                <w:rFonts w:ascii="Times New Roman" w:cs="Times New Roman" w:hAnsi="Times New Roman"/>
                <w:color w:val="000000"/>
                <w:sz w:val="22"/>
                <w:szCs w:val="22"/>
              </w:rPr>
            </w:pPr>
            <w:r>
              <w:rPr>
                <w:rFonts w:ascii="Times New Roman" w:cs="Times New Roman" w:hAnsi="Times New Roman"/>
                <w:color w:val="000000"/>
                <w:sz w:val="22"/>
                <w:szCs w:val="22"/>
              </w:rPr>
              <w:t>77</w:t>
            </w:r>
          </w:p>
        </w:tc>
        <w:tc>
          <w:tcPr>
            <w:tcW w:w="12131" w:type="dxa"/>
            <w:vAlign w:val="center"/>
          </w:tcPr>
          <w:p>
            <w:pPr>
              <w:jc w:val="left"/>
              <w:rPr>
                <w:rFonts w:ascii="宋体" w:cs="宋体"/>
                <w:sz w:val="22"/>
              </w:rPr>
            </w:pPr>
            <w:r>
              <w:rPr>
                <w:rFonts w:ascii="宋体" w:cs="宋体"/>
                <w:sz w:val="22"/>
              </w:rPr>
              <w:t>关于取代卫生部2014年第636号豁免决议的提案。该决议根据卫生部第977/96号最高法令《食品卫生条例》第175条规定了食品辐照的最大剂量。拟议的法规更具体地扩展和详细说明了易受辐照的食品类别以及相关的技术目的，纳入了更清晰和全面的最大剂量表。《食品卫生条例》第175条第3款规定，卫生部的决议将根据授权目的确定加工目的和相应食品可能接受的平均辐照剂量。</w:t>
            </w:r>
          </w:p>
        </w:tc>
      </w:tr>
    </w:tbl>
    <w:p>
      <w:pPr>
        <w:autoSpaceDN w:val="0"/>
        <w:adjustRightInd w:val="0"/>
        <w:snapToGrid w:val="0"/>
        <w:spacing w:line="560" w:lineRule="exact"/>
        <w:ind w:firstLineChars="265" w:firstLine="848"/>
        <w:rPr>
          <w:rFonts w:ascii="方正仿宋_GBK" w:eastAsia="方正仿宋_GBK" w:cs="Times New Roman"/>
          <w:sz w:val="32"/>
          <w:szCs w:val="32"/>
        </w:rPr>
      </w:pPr>
      <w:r>
        <w:rPr>
          <w:rStyle w:val="19Char"/>
          <w:rFonts w:ascii="方正仿宋_GBK" w:eastAsia="方正仿宋_GBK" w:cs="方正仿宋_GBK" w:hint="eastAsia"/>
          <w:kern w:val="0"/>
          <w:sz w:val="32"/>
          <w:szCs w:val="32"/>
        </w:rPr>
        <w:t>感谢关注武汉海关的技术性贸易措施工作！后期，我们将持续收集和更新</w:t>
      </w:r>
      <w:r>
        <w:rPr>
          <w:rFonts w:ascii="方正仿宋_GBK" w:eastAsia="方正仿宋_GBK" w:cs="方正仿宋_GBK" w:hint="eastAsia"/>
          <w:sz w:val="32"/>
          <w:szCs w:val="32"/>
        </w:rPr>
        <w:t>各国（地区）技术性贸易措施</w:t>
      </w:r>
      <w:r>
        <w:rPr>
          <w:rStyle w:val="19Char"/>
          <w:rFonts w:ascii="方正仿宋_GBK" w:eastAsia="方正仿宋_GBK" w:cs="方正仿宋_GBK" w:hint="eastAsia"/>
          <w:kern w:val="0"/>
          <w:sz w:val="32"/>
          <w:szCs w:val="32"/>
        </w:rPr>
        <w:t>，</w:t>
      </w:r>
      <w:r>
        <w:rPr>
          <w:rFonts w:ascii="方正仿宋_GBK" w:eastAsia="方正仿宋_GBK" w:cs="方正仿宋_GBK" w:hint="eastAsia"/>
          <w:sz w:val="32"/>
          <w:szCs w:val="32"/>
        </w:rPr>
        <w:t>根据需要及时向社会公布</w:t>
      </w:r>
      <w:r>
        <w:rPr>
          <w:rStyle w:val="19Char"/>
          <w:rFonts w:ascii="方正仿宋_GBK" w:eastAsia="方正仿宋_GBK" w:cs="方正仿宋_GBK" w:hint="eastAsia"/>
          <w:kern w:val="0"/>
          <w:sz w:val="32"/>
          <w:szCs w:val="32"/>
        </w:rPr>
        <w:t>，优化营商环境，</w:t>
      </w:r>
      <w:r>
        <w:rPr>
          <w:rFonts w:ascii="方正仿宋_GBK" w:eastAsia="方正仿宋_GBK" w:cs="方正仿宋_GBK" w:hint="eastAsia"/>
          <w:sz w:val="32"/>
          <w:szCs w:val="32"/>
        </w:rPr>
        <w:t>做好稳外贸稳外资工作，服务外贸企业，帮助企业有效应对，降低技术性贸易措施带来的影响和损失。</w:t>
      </w:r>
    </w:p>
    <w:p>
      <w:pPr>
        <w:pStyle w:val="20"/>
        <w:ind w:firstLineChars="200" w:firstLine="640"/>
        <w:jc w:val="center"/>
        <w:rPr>
          <w:rFonts w:ascii="方正仿宋_GBK" w:eastAsia="方正仿宋_GBK" w:cs="Times New Roman"/>
          <w:sz w:val="32"/>
          <w:szCs w:val="32"/>
        </w:rPr>
      </w:pPr>
      <w:r>
        <w:rPr>
          <w:rFonts w:ascii="方正仿宋_GBK" w:eastAsia="方正仿宋_GBK" w:cs="方正仿宋_GBK" w:hint="eastAsia"/>
          <w:sz w:val="32"/>
          <w:szCs w:val="32"/>
        </w:rPr>
        <w:t xml:space="preserve">                                                               武汉海关</w:t>
      </w:r>
    </w:p>
    <w:p>
      <w:pPr>
        <w:autoSpaceDN w:val="0"/>
        <w:ind w:right="480" w:firstLineChars="200" w:firstLine="640"/>
        <w:jc w:val="right"/>
        <w:rPr>
          <w:rFonts w:cs="Times New Roman"/>
        </w:rPr>
      </w:pPr>
      <w:r>
        <w:rPr>
          <w:rFonts w:ascii="Times New Roman" w:eastAsia="方正仿宋_GBK" w:cs="Times New Roman" w:hAnsi="Times New Roman"/>
          <w:sz w:val="32"/>
          <w:szCs w:val="32"/>
        </w:rPr>
        <w:t>2026</w:t>
      </w:r>
      <w:r>
        <w:rPr>
          <w:rFonts w:ascii="Times New Roman" w:eastAsia="方正仿宋_GBK" w:cs="方正仿宋_GBK" w:hAnsi="Times New Roman" w:hint="eastAsia"/>
          <w:sz w:val="32"/>
          <w:szCs w:val="32"/>
        </w:rPr>
        <w:t>年</w:t>
      </w:r>
      <w:r>
        <w:rPr>
          <w:rFonts w:ascii="Times New Roman" w:eastAsia="方正仿宋_GBK" w:cs="Times New Roman" w:hAnsi="Times New Roman"/>
          <w:sz w:val="32"/>
          <w:szCs w:val="32"/>
        </w:rPr>
        <w:t>1</w:t>
      </w:r>
      <w:r>
        <w:rPr>
          <w:rFonts w:ascii="Times New Roman" w:eastAsia="方正仿宋_GBK" w:cs="方正仿宋_GBK" w:hAnsi="Times New Roman" w:hint="eastAsia"/>
          <w:sz w:val="32"/>
          <w:szCs w:val="32"/>
        </w:rPr>
        <w:t>月</w:t>
      </w:r>
      <w:r>
        <w:rPr>
          <w:rFonts w:ascii="Times New Roman" w:eastAsia="方正仿宋_GBK" w:cs="Times New Roman" w:hAnsi="Times New Roman"/>
          <w:sz w:val="32"/>
          <w:szCs w:val="32"/>
        </w:rPr>
        <w:t>20</w:t>
      </w:r>
      <w:r>
        <w:rPr>
          <w:rFonts w:ascii="Times New Roman" w:eastAsia="方正仿宋_GBK" w:cs="方正仿宋_GBK" w:hAnsi="Times New Roman" w:hint="eastAsia"/>
          <w:sz w:val="32"/>
          <w:szCs w:val="32"/>
        </w:rPr>
        <w:t>日</w:t>
      </w:r>
    </w:p>
    <w:sectPr>
      <w:pgSz w:w="16838" w:h="11906" w:orient="landscape"/>
      <w:pgMar w:top="1800" w:right="1440" w:bottom="1800" w:left="1440" w:header="851" w:footer="992" w:gutter="0"/>
      <w:docGrid w:type="lines" w:linePitch="312" w:charSpace="0"/>
    </w:sectPr>
  </w:body>
</w:document>
</file>

<file path=word/fontTable.xml><?xml version="1.0" encoding="utf-8"?>
<w:fonts xmlns:w="http://schemas.openxmlformats.org/wordprocessingml/2006/main" xmlns:r="http://schemas.openxmlformats.org/officeDocument/2006/relationships">
  <w:font w:name="方正小标宋_GBK">
    <w:panose1 w:val="03000509000000000000"/>
    <w:charset w:val="86"/>
    <w:family w:val="script"/>
    <w:pitch w:val="variable"/>
    <w:sig w:usb0="00000001" w:usb1="080E0000" w:usb2="00000010" w:usb3="00000000" w:csb0="00040000" w:csb1="00000000"/>
  </w:font>
  <w:font w:name="Times New Roman">
    <w:panose1 w:val="02020603050405020304"/>
    <w:charset w:val="00"/>
    <w:family w:val="roman"/>
    <w:pitch w:val="variable"/>
    <w:sig w:usb0="E0002AFF" w:usb1="C0007841" w:usb2="00000009" w:usb3="00000000" w:csb0="000001FF" w:csb1="00000000"/>
  </w:font>
  <w:font w:name="方正楷体_GBK">
    <w:panose1 w:val="03000509000000000000"/>
    <w:charset w:val="86"/>
    <w:family w:val="script"/>
    <w:pitch w:val="variable"/>
    <w:sig w:usb0="00000001" w:usb1="080E0000" w:usb2="00000010" w:usb3="00000000" w:csb0="00040000" w:csb1="00000000"/>
  </w:font>
  <w:font w:name="方正仿宋_GBK">
    <w:panose1 w:val="03000509000000000000"/>
    <w:charset w:val="86"/>
    <w:family w:val="script"/>
    <w:pitch w:val="variable"/>
    <w:sig w:usb0="00000001" w:usb1="080E0000" w:usb2="00000010" w:usb3="00000000" w:csb0="00040000" w:csb1="00000000"/>
  </w:font>
  <w:font w:name="宋体">
    <w:altName w:val="华文宋体"/>
    <w:panose1 w:val="02010600030101010101"/>
    <w:charset w:val="86"/>
    <w:family w:val="auto"/>
    <w:pitch w:val="variable"/>
    <w:sig w:usb0="00000003" w:usb1="288F0000" w:usb2="00000016" w:usb3="00000000" w:csb0="00040001" w:csb1="00000000"/>
  </w:font>
  <w:font w:name="Calibri">
    <w:altName w:val="Times New Roman"/>
    <w:panose1 w:val="020F0502020204030204"/>
    <w:charset w:val="00"/>
    <w:family w:val="swiss"/>
    <w:pitch w:val="variable"/>
    <w:sig w:usb0="E00002FF" w:usb1="4000ACFF" w:usb2="00000001" w:usb3="00000000" w:csb0="0000019F" w:csb1="00000000"/>
  </w:font>
  <w:font w:name="黑体">
    <w:altName w:val="方正黑体_GBK"/>
    <w:panose1 w:val="00000000000000000000"/>
    <w:charset w:val="00"/>
    <w:family w:val="auto"/>
    <w:pitch w:val="variable"/>
    <w:sig w:usb0="00000000" w:usb1="00000000" w:usb2="00000000" w:usb3="00000000" w:csb0="00000000" w:csb1="00000000"/>
  </w:font>
</w:fonts>
</file>

<file path=word/settings.xml><?xml version="1.0" encoding="utf-8"?>
<w:settings xmlns:w="http://schemas.openxmlformats.org/wordprocessingml/2006/main" xmlns:o="urn:schemas-microsoft-com:office:office" xmlns:r="http://schemas.openxmlformats.org/officeDocument/2006/relationships" xmlns:m="http://schemas.openxmlformats.org/officeDocument/2006/math" xmlns:v="urn:schemas-microsoft-com:vml">
  <w:zoom w:val="fullPage" w:percent="85"/>
  <w:doNotDisplayPageBoundaries/>
  <w:bordersDoNotSurroundHeader/>
  <w:bordersDoNotSurroundFooter/>
  <w:trackRevisions/>
  <w:defaultTabStop w:val="420"/>
  <w:drawingGridHorizontalSpacing w:val="105"/>
  <w:drawingGridVerticalSpacing w:val="156"/>
  <w:displayHorizontalDrawingGridEvery w:val="0"/>
  <w:displayVerticalDrawingGridEvery w:val="1"/>
  <w:noPunctuationKerning/>
  <w:characterSpacingControl w:val="compressPunctuation"/>
  <w:noLineBreaksAfter w:lang="zh-CN" w:val="$([{£¥·‘“〈《「『【〔〖〝﹙﹛﹝＄（．［｛￡￥"/>
  <w:noLineBreaksBefore w:lang="zh-CN" w:val="!%),.:;&gt;?]}¢¨°·ˇˉ―‖’”…‰′″›℃∶、。〃〉》」』】〕〗〞︶︺︾﹀﹄﹚﹜﹞！＂％＇），．：；？］｀｜｝～￠"/>
  <w:savePreviewPicture/>
  <w:compat>
    <w:spaceForUL/>
    <w:balanceSingleByteDoubleByteWidth/>
    <w:ulTrailSpace/>
    <w:doNotExpandShiftReturn/>
    <w:adjustLineHeightInTable/>
    <w:growAutofit/>
    <w:useAltKinsokuLineBreakRules/>
    <w:splitPgBreakAndParaMark/>
    <w:compatSetting w:name="compatibilityMode" w:uri="http://schemas.microsoft.com/office/word" w:val="14"/>
  </w:compat>
</w:settings>
</file>

<file path=word/styles.xml><?xml version="1.0" encoding="utf-8"?>
<w:styles xmlns:w="http://schemas.openxmlformats.org/wordprocessingml/2006/main" xmlns:r="http://schemas.openxmlformats.org/officeDocument/2006/relationships">
  <w:docDefaults>
    <w:rPrDefault>
      <w:rPr>
        <w:rFonts w:ascii="Times New Roman" w:eastAsia="宋体" w:hAnsi="Times New Roman" w:cs="Times New Roman"/>
        <w:lang w:val="en-US" w:eastAsia="zh-CN" w:bidi="ar-SA"/>
      </w:rPr>
    </w:rPrDefault>
    <w:pPrDefault/>
  </w:docDefaults>
  <w:style w:type="paragraph" w:default="1" w:styleId="0">
    <w:name w:val="Normal"/>
    <w:pPr>
      <w:widowControl w:val="0"/>
      <w:jc w:val="both"/>
    </w:pPr>
    <w:rPr>
      <w:rFonts w:ascii="Calibri" w:eastAsia="宋体" w:cs="Calibri" w:hAnsi="Calibri"/>
      <w:kern w:val="2"/>
      <w:sz w:val="21"/>
      <w:szCs w:val="21"/>
      <w:lang w:val="en-US" w:eastAsia="zh-CN" w:bidi="ar-SA"/>
    </w:rPr>
  </w:style>
  <w:style w:type="paragraph" w:styleId="1">
    <w:name w:val="heading 1"/>
    <w:basedOn w:val="0"/>
    <w:next w:val="0"/>
    <w:pPr>
      <w:keepNext/>
      <w:keepLines/>
      <w:widowControl w:val="0"/>
      <w:spacing w:before="340" w:after="330" w:line="578" w:lineRule="auto"/>
      <w:outlineLvl w:val="0"/>
    </w:pPr>
    <w:rPr>
      <w:b/>
      <w:bCs/>
      <w:kern w:val="44"/>
      <w:sz w:val="44"/>
      <w:szCs w:val="44"/>
    </w:rPr>
  </w:style>
  <w:style w:type="paragraph" w:styleId="2">
    <w:name w:val="heading 2"/>
    <w:basedOn w:val="0"/>
    <w:next w:val="0"/>
    <w:pPr>
      <w:keepNext/>
      <w:keepLines/>
      <w:widowControl w:val="0"/>
      <w:spacing w:before="260" w:after="260" w:line="415" w:lineRule="auto"/>
      <w:outlineLvl w:val="1"/>
    </w:pPr>
    <w:rPr>
      <w:rFonts w:ascii="Times New Roman" w:eastAsia="黑体" w:hAnsi="Times New Roman"/>
      <w:b/>
      <w:bCs/>
      <w:sz w:val="32"/>
      <w:szCs w:val="32"/>
    </w:rPr>
  </w:style>
  <w:style w:type="paragraph" w:styleId="3">
    <w:name w:val="heading 3"/>
    <w:basedOn w:val="0"/>
    <w:next w:val="0"/>
    <w:pPr>
      <w:keepNext/>
      <w:keepLines/>
      <w:widowControl w:val="0"/>
      <w:spacing w:before="260" w:after="260" w:line="415" w:lineRule="auto"/>
      <w:outlineLvl w:val="2"/>
    </w:pPr>
    <w:rPr>
      <w:b/>
      <w:bCs/>
      <w:sz w:val="32"/>
      <w:szCs w:val="32"/>
    </w:rPr>
  </w:style>
  <w:style w:type="character" w:default="1" w:styleId="10">
    <w:name w:val="Default Paragraph Font"/>
  </w:style>
  <w:style w:type="paragraph" w:styleId="15">
    <w:name w:val="footer"/>
    <w:basedOn w:val="0"/>
    <w:pPr>
      <w:tabs>
        <w:tab w:val="center" w:pos="4153"/>
        <w:tab w:val="right" w:pos="8306"/>
      </w:tabs>
      <w:snapToGrid w:val="0"/>
      <w:jc w:val="left"/>
    </w:pPr>
    <w:rPr>
      <w:sz w:val="18"/>
      <w:szCs w:val="18"/>
    </w:rPr>
  </w:style>
  <w:style w:type="paragraph" w:styleId="16">
    <w:name w:val="header"/>
    <w:basedOn w:val="0"/>
    <w:pPr>
      <w:pBdr>
        <w:bottom w:val="single" w:sz="6" w:space="1" w:color="auto"/>
      </w:pBdr>
      <w:tabs>
        <w:tab w:val="center" w:pos="4153"/>
        <w:tab w:val="right" w:pos="8306"/>
      </w:tabs>
      <w:snapToGrid w:val="0"/>
      <w:jc w:val="center"/>
    </w:pPr>
    <w:rPr>
      <w:sz w:val="18"/>
      <w:szCs w:val="18"/>
    </w:rPr>
  </w:style>
  <w:style w:type="character" w:customStyle="1" w:styleId="17">
    <w:name w:val="NormalCharacter"/>
  </w:style>
  <w:style w:type="character" w:customStyle="1" w:styleId="18">
    <w:name w:val="im-content1"/>
    <w:basedOn w:val="10"/>
    <w:rPr>
      <w:color w:val="000000"/>
    </w:rPr>
  </w:style>
  <w:style w:type="paragraph" w:customStyle="1" w:styleId="19">
    <w:name w:val="样式"/>
    <w:link w:val="19Char"/>
    <w:rPr>
      <w:rFonts w:ascii="Times New Roman" w:eastAsia="宋体" w:cs="Times New Roman" w:hAnsi="Times New Roman"/>
      <w:sz w:val="20"/>
      <w:szCs w:val="20"/>
      <w:lang w:val="en-US" w:eastAsia="zh-CN" w:bidi="ar-SA"/>
    </w:rPr>
  </w:style>
  <w:style w:type="character" w:customStyle="1" w:styleId="19Char">
    <w:name w:val="样式 Char"/>
    <w:basedOn w:val="10"/>
    <w:link w:val="19"/>
    <w:rPr>
      <w:rFonts w:ascii="Times New Roman" w:eastAsia="宋体" w:cs="Times New Roman" w:hAnsi="Times New Roman"/>
      <w:sz w:val="20"/>
      <w:szCs w:val="20"/>
      <w:lang w:val="en-US" w:eastAsia="zh-CN" w:bidi="ar-SA"/>
    </w:rPr>
  </w:style>
  <w:style w:type="paragraph" w:customStyle="1" w:styleId="20">
    <w:name w:val="样式 1 10 磅"/>
    <w:pPr>
      <w:widowControl w:val="0"/>
      <w:jc w:val="both"/>
    </w:pPr>
    <w:rPr>
      <w:rFonts w:ascii="Calibri" w:eastAsia="宋体" w:cs="Calibri" w:hAnsi="Calibri"/>
      <w:kern w:val="2"/>
      <w:sz w:val="21"/>
      <w:szCs w:val="21"/>
      <w:lang w:val="en-US" w:eastAsia="zh-CN" w:bidi="ar-SA"/>
    </w:rPr>
  </w:style>
  <w:style w:type="character" w:customStyle="1" w:styleId="21">
    <w:name w:val="font21"/>
    <w:basedOn w:val="10"/>
    <w:rPr>
      <w:rFonts w:ascii="宋体" w:eastAsia="宋体" w:cs="宋体"/>
      <w:color w:val="000000"/>
      <w:sz w:val="18"/>
      <w:szCs w:val="18"/>
      <w:u w:val="none"/>
    </w:rPr>
  </w:style>
  <w:style w:type="character" w:customStyle="1" w:styleId="22">
    <w:name w:val="font31"/>
    <w:basedOn w:val="10"/>
    <w:rPr>
      <w:rFonts w:ascii="Calibri" w:cs="Calibri" w:hAnsi="Calibri"/>
      <w:color w:val="000000"/>
      <w:sz w:val="18"/>
      <w:szCs w:val="18"/>
      <w:u w:val="none"/>
    </w:rPr>
  </w:style>
  <w:style w:type="character" w:customStyle="1" w:styleId="23">
    <w:name w:val="font11"/>
    <w:basedOn w:val="10"/>
    <w:rPr>
      <w:rFonts w:ascii="Times New Roman" w:cs="Times New Roman" w:hAnsi="Times New Roman"/>
      <w:color w:val="000000"/>
      <w:sz w:val="24"/>
      <w:szCs w:val="24"/>
      <w:u w:val="none"/>
    </w:rPr>
  </w:style>
  <w:style w:type="character" w:customStyle="1" w:styleId="24">
    <w:name w:val="font51"/>
    <w:basedOn w:val="10"/>
    <w:rPr>
      <w:rFonts w:ascii="方正仿宋_GBK" w:eastAsia="方正仿宋_GBK" w:cs="方正仿宋_GBK"/>
      <w:color w:val="000000"/>
      <w:sz w:val="24"/>
      <w:szCs w:val="24"/>
      <w:u w:val="none"/>
    </w:rPr>
  </w:style>
  <w:style w:type="character" w:customStyle="1" w:styleId="25">
    <w:name w:val="font41"/>
    <w:basedOn w:val="10"/>
    <w:rPr>
      <w:rFonts w:ascii="方正仿宋_GBK" w:eastAsia="方正仿宋_GBK" w:cs="方正仿宋_GBK"/>
      <w:color w:val="000000"/>
      <w:sz w:val="24"/>
      <w:szCs w:val="24"/>
      <w:u w:val="none"/>
    </w:rPr>
  </w:style>
  <w:style w:type="character" w:customStyle="1" w:styleId="26">
    <w:name w:val="font61"/>
    <w:basedOn w:val="10"/>
    <w:rPr>
      <w:rFonts w:ascii="方正仿宋_GBK" w:eastAsia="方正仿宋_GBK" w:cs="方正仿宋_GBK"/>
      <w:color w:val="4D4D4D"/>
      <w:sz w:val="24"/>
      <w:szCs w:val="24"/>
      <w:u w:val="none"/>
    </w:rPr>
  </w:style>
  <w:style w:type="character" w:customStyle="1" w:styleId="27">
    <w:name w:val="font01"/>
    <w:basedOn w:val="10"/>
    <w:rPr>
      <w:rFonts w:ascii="宋体" w:eastAsia="宋体" w:cs="宋体"/>
      <w:color w:val="000000"/>
      <w:sz w:val="22"/>
      <w:szCs w:val="22"/>
      <w:u w:val="none"/>
    </w:rPr>
  </w:style>
  <w:style w:type="character" w:customStyle="1" w:styleId="28">
    <w:name w:val="font71"/>
    <w:basedOn w:val="10"/>
    <w:rPr>
      <w:rFonts w:ascii="Times New Roman" w:cs="Times New Roman" w:hAnsi="Times New Roman"/>
      <w:color w:val="auto"/>
      <w:sz w:val="32"/>
      <w:szCs w:val="32"/>
      <w:u w:val="none"/>
    </w:rPr>
  </w:style>
  <w:style w:type="character" w:customStyle="1" w:styleId="29">
    <w:name w:val="font81"/>
    <w:basedOn w:val="10"/>
    <w:rPr>
      <w:rFonts w:ascii="Times New Roman" w:cs="Times New Roman" w:hAnsi="Times New Roman"/>
      <w:color w:val="000000"/>
      <w:sz w:val="32"/>
      <w:szCs w:val="32"/>
      <w:u w:val="none"/>
    </w:rPr>
  </w:style>
  <w:style w:type="paragraph" w:customStyle="1" w:styleId="30">
    <w:name w:val="样式 10 磅"/>
    <w:pPr>
      <w:widowControl w:val="0"/>
      <w:jc w:val="both"/>
    </w:pPr>
    <w:rPr>
      <w:rFonts w:ascii="Calibri" w:eastAsia="宋体" w:cs="Calibri" w:hAnsi="Calibri"/>
      <w:kern w:val="2"/>
      <w:sz w:val="21"/>
      <w:szCs w:val="21"/>
      <w:lang w:val="en-US" w:eastAsia="zh-CN" w:bidi="ar-SA"/>
    </w:rPr>
  </w:style>
  <w:style w:type="paragraph" w:customStyle="1" w:styleId="31">
    <w:name w:val="样式 2 10 磅"/>
    <w:pPr>
      <w:widowControl w:val="0"/>
      <w:jc w:val="both"/>
    </w:pPr>
    <w:rPr>
      <w:rFonts w:ascii="Calibri" w:eastAsia="宋体" w:cs="Calibri" w:hAnsi="Calibri"/>
      <w:kern w:val="2"/>
      <w:sz w:val="21"/>
      <w:szCs w:val="21"/>
      <w:lang w:val="en-US" w:eastAsia="zh-CN" w:bidi="ar-SA"/>
    </w:rPr>
  </w:style>
  <w:style w:type="character" w:styleId="32">
    <w:name w:val="Hyperlink"/>
    <w:basedOn w:val="10"/>
    <w:rPr>
      <w:color w:val="0000FF"/>
      <w:u w:val="single"/>
    </w:rPr>
  </w:style>
  <w:style w:type="paragraph" w:customStyle="1" w:styleId="33">
    <w:name w:val="样式 3 10 磅"/>
    <w:pPr>
      <w:widowControl w:val="0"/>
      <w:jc w:val="both"/>
    </w:pPr>
    <w:rPr>
      <w:rFonts w:ascii="Calibri" w:eastAsia="宋体" w:cs="Calibri" w:hAnsi="Calibri"/>
      <w:kern w:val="2"/>
      <w:sz w:val="21"/>
      <w:szCs w:val="21"/>
      <w:lang w:val="en-US" w:eastAsia="zh-CN" w:bidi="ar-SA"/>
    </w:rPr>
  </w:style>
  <w:style w:type="paragraph" w:customStyle="1" w:styleId="34">
    <w:name w:val="样式 4 10 磅"/>
    <w:pPr>
      <w:widowControl w:val="0"/>
      <w:jc w:val="both"/>
    </w:pPr>
    <w:rPr>
      <w:rFonts w:ascii="Calibri" w:eastAsia="宋体" w:cs="Calibri" w:hAnsi="Calibri"/>
      <w:kern w:val="2"/>
      <w:sz w:val="21"/>
      <w:szCs w:val="21"/>
      <w:lang w:val="en-US" w:eastAsia="zh-CN" w:bidi="ar-SA"/>
    </w:rPr>
  </w:style>
  <w:style w:type="paragraph" w:customStyle="1" w:styleId="35">
    <w:name w:val="样式 5 10 磅"/>
    <w:pPr>
      <w:widowControl w:val="0"/>
      <w:jc w:val="both"/>
    </w:pPr>
    <w:rPr>
      <w:rFonts w:ascii="Calibri" w:eastAsia="宋体" w:cs="Calibri" w:hAnsi="Calibri"/>
      <w:kern w:val="2"/>
      <w:sz w:val="21"/>
      <w:szCs w:val="21"/>
      <w:lang w:val="en-US" w:eastAsia="zh-CN" w:bidi="ar-SA"/>
    </w:rPr>
  </w:style>
  <w:style w:type="paragraph" w:customStyle="1" w:styleId="36">
    <w:name w:val="样式 6 10 磅"/>
    <w:pPr>
      <w:widowControl w:val="0"/>
      <w:jc w:val="both"/>
    </w:pPr>
    <w:rPr>
      <w:rFonts w:ascii="Calibri" w:eastAsia="宋体" w:cs="Calibri" w:hAnsi="Calibri"/>
      <w:kern w:val="2"/>
      <w:sz w:val="21"/>
      <w:szCs w:val="21"/>
      <w:lang w:val="en-US" w:eastAsia="zh-CN" w:bidi="ar-SA"/>
    </w:rPr>
  </w:style>
  <w:style w:type="paragraph" w:customStyle="1" w:styleId="37">
    <w:name w:val="样式 7 10 磅"/>
    <w:pPr>
      <w:widowControl w:val="0"/>
      <w:jc w:val="both"/>
    </w:pPr>
    <w:rPr>
      <w:rFonts w:ascii="Calibri" w:eastAsia="宋体" w:cs="Calibri" w:hAnsi="Calibri"/>
      <w:kern w:val="2"/>
      <w:sz w:val="21"/>
      <w:szCs w:val="21"/>
      <w:lang w:val="en-US" w:eastAsia="zh-CN" w:bidi="ar-SA"/>
    </w:rPr>
  </w:style>
  <w:style w:type="paragraph" w:customStyle="1" w:styleId="38">
    <w:name w:val="样式 8 10 磅"/>
    <w:pPr>
      <w:widowControl w:val="0"/>
      <w:jc w:val="both"/>
    </w:pPr>
    <w:rPr>
      <w:rFonts w:ascii="Calibri" w:eastAsia="宋体" w:cs="Calibri" w:hAnsi="Calibri"/>
      <w:kern w:val="2"/>
      <w:sz w:val="21"/>
      <w:szCs w:val="21"/>
      <w:lang w:val="en-US" w:eastAsia="zh-CN" w:bidi="ar-SA"/>
    </w:rPr>
  </w:style>
  <w:style w:type="paragraph" w:customStyle="1" w:styleId="39">
    <w:name w:val="样式 9 10 磅"/>
    <w:pPr>
      <w:widowControl w:val="0"/>
      <w:jc w:val="both"/>
    </w:pPr>
    <w:rPr>
      <w:rFonts w:ascii="Calibri" w:eastAsia="宋体" w:cs="Calibri" w:hAnsi="Calibri"/>
      <w:kern w:val="2"/>
      <w:sz w:val="21"/>
      <w:szCs w:val="21"/>
      <w:lang w:val="en-US" w:eastAsia="zh-CN" w:bidi="ar-SA"/>
    </w:rPr>
  </w:style>
  <w:style w:type="paragraph" w:customStyle="1" w:styleId="40">
    <w:name w:val="样式 10 10 磅"/>
    <w:pPr>
      <w:widowControl w:val="0"/>
      <w:jc w:val="both"/>
    </w:pPr>
    <w:rPr>
      <w:rFonts w:ascii="Calibri" w:eastAsia="宋体" w:cs="Calibri" w:hAnsi="Calibri"/>
      <w:kern w:val="2"/>
      <w:sz w:val="21"/>
      <w:szCs w:val="21"/>
      <w:lang w:val="en-US" w:eastAsia="zh-CN" w:bidi="ar-SA"/>
    </w:rPr>
  </w:style>
  <w:style w:type="paragraph" w:customStyle="1" w:styleId="41">
    <w:name w:val="样式 11 10 磅"/>
    <w:pPr>
      <w:widowControl w:val="0"/>
      <w:jc w:val="both"/>
    </w:pPr>
    <w:rPr>
      <w:rFonts w:ascii="Calibri" w:eastAsia="宋体" w:cs="Calibri" w:hAnsi="Calibri"/>
      <w:kern w:val="2"/>
      <w:sz w:val="21"/>
      <w:szCs w:val="21"/>
      <w:lang w:val="en-US" w:eastAsia="zh-CN" w:bidi="ar-SA"/>
    </w:rPr>
  </w:style>
  <w:style w:type="paragraph" w:customStyle="1" w:styleId="42">
    <w:name w:val="样式 12 10 磅"/>
    <w:pPr>
      <w:widowControl w:val="0"/>
      <w:jc w:val="both"/>
    </w:pPr>
    <w:rPr>
      <w:rFonts w:ascii="Calibri" w:eastAsia="宋体" w:cs="Calibri" w:hAnsi="Calibri"/>
      <w:kern w:val="2"/>
      <w:sz w:val="21"/>
      <w:szCs w:val="21"/>
      <w:lang w:val="en-US" w:eastAsia="zh-CN" w:bidi="ar-SA"/>
    </w:rPr>
  </w:style>
  <w:style w:type="paragraph" w:customStyle="1" w:styleId="43">
    <w:name w:val="样式 13 10 磅"/>
    <w:pPr>
      <w:widowControl w:val="0"/>
      <w:jc w:val="both"/>
    </w:pPr>
    <w:rPr>
      <w:rFonts w:ascii="Calibri" w:eastAsia="宋体" w:cs="Calibri" w:hAnsi="Calibri"/>
      <w:kern w:val="2"/>
      <w:sz w:val="21"/>
      <w:szCs w:val="21"/>
      <w:lang w:val="en-US" w:eastAsia="zh-CN" w:bidi="ar-SA"/>
    </w:rPr>
  </w:style>
  <w:style w:type="paragraph" w:customStyle="1" w:styleId="44">
    <w:name w:val="样式 14 10 磅"/>
    <w:pPr>
      <w:widowControl w:val="0"/>
      <w:jc w:val="both"/>
    </w:pPr>
    <w:rPr>
      <w:rFonts w:ascii="Calibri" w:eastAsia="宋体" w:cs="Calibri" w:hAnsi="Calibri"/>
      <w:kern w:val="2"/>
      <w:sz w:val="21"/>
      <w:szCs w:val="21"/>
      <w:lang w:val="en-US" w:eastAsia="zh-CN" w:bidi="ar-SA"/>
    </w:rPr>
  </w:style>
  <w:style w:type="paragraph" w:customStyle="1" w:styleId="45">
    <w:name w:val="样式 15 10 磅"/>
    <w:pPr>
      <w:widowControl w:val="0"/>
      <w:jc w:val="both"/>
    </w:pPr>
    <w:rPr>
      <w:rFonts w:ascii="Calibri" w:eastAsia="宋体" w:cs="Calibri" w:hAnsi="Calibri"/>
      <w:kern w:val="2"/>
      <w:sz w:val="21"/>
      <w:szCs w:val="21"/>
      <w:lang w:val="en-US" w:eastAsia="zh-CN" w:bidi="ar-SA"/>
    </w:rPr>
  </w:style>
  <w:style w:type="paragraph" w:customStyle="1" w:styleId="46">
    <w:name w:val="样式 16 10 磅"/>
    <w:pPr>
      <w:widowControl w:val="0"/>
      <w:jc w:val="both"/>
    </w:pPr>
    <w:rPr>
      <w:rFonts w:ascii="Calibri" w:eastAsia="宋体" w:cs="Calibri" w:hAnsi="Calibri"/>
      <w:kern w:val="2"/>
      <w:sz w:val="21"/>
      <w:szCs w:val="21"/>
      <w:lang w:val="en-US" w:eastAsia="zh-CN" w:bidi="ar-SA"/>
    </w:rPr>
  </w:style>
  <w:style w:type="paragraph" w:customStyle="1" w:styleId="47">
    <w:name w:val="样式 17 10 磅"/>
    <w:pPr>
      <w:widowControl w:val="0"/>
      <w:jc w:val="both"/>
    </w:pPr>
    <w:rPr>
      <w:rFonts w:ascii="Calibri" w:eastAsia="宋体" w:cs="Calibri" w:hAnsi="Calibri"/>
      <w:kern w:val="2"/>
      <w:sz w:val="21"/>
      <w:szCs w:val="21"/>
      <w:lang w:val="en-US" w:eastAsia="zh-CN" w:bidi="ar-SA"/>
    </w:rPr>
  </w:style>
  <w:style w:type="paragraph" w:customStyle="1" w:styleId="48">
    <w:name w:val="样式 18 10 磅"/>
    <w:pPr>
      <w:widowControl w:val="0"/>
      <w:jc w:val="both"/>
    </w:pPr>
    <w:rPr>
      <w:rFonts w:ascii="Calibri" w:eastAsia="宋体" w:cs="Calibri" w:hAnsi="Calibri"/>
      <w:kern w:val="2"/>
      <w:sz w:val="21"/>
      <w:szCs w:val="21"/>
      <w:lang w:val="en-US" w:eastAsia="zh-CN" w:bidi="ar-SA"/>
    </w:rPr>
  </w:style>
  <w:style w:type="paragraph" w:customStyle="1" w:styleId="49">
    <w:name w:val="样式 19 10 磅"/>
    <w:pPr>
      <w:widowControl w:val="0"/>
      <w:jc w:val="both"/>
    </w:pPr>
    <w:rPr>
      <w:rFonts w:ascii="Calibri" w:eastAsia="宋体" w:cs="Calibri" w:hAnsi="Calibri"/>
      <w:kern w:val="2"/>
      <w:sz w:val="21"/>
      <w:szCs w:val="21"/>
      <w:lang w:val="en-US" w:eastAsia="zh-CN" w:bidi="ar-SA"/>
    </w:rPr>
  </w:style>
  <w:style w:type="paragraph" w:customStyle="1" w:styleId="50">
    <w:name w:val="样式 20 10 磅"/>
    <w:pPr>
      <w:widowControl w:val="0"/>
      <w:jc w:val="both"/>
    </w:pPr>
    <w:rPr>
      <w:rFonts w:ascii="Calibri" w:eastAsia="宋体" w:cs="Calibri" w:hAnsi="Calibri"/>
      <w:kern w:val="2"/>
      <w:sz w:val="21"/>
      <w:szCs w:val="21"/>
      <w:lang w:val="en-US" w:eastAsia="zh-CN" w:bidi="ar-SA"/>
    </w:rPr>
  </w:style>
  <w:style w:type="paragraph" w:customStyle="1" w:styleId="51">
    <w:name w:val="样式 21 10 磅"/>
    <w:pPr>
      <w:widowControl w:val="0"/>
      <w:jc w:val="both"/>
    </w:pPr>
    <w:rPr>
      <w:rFonts w:ascii="Calibri" w:eastAsia="宋体" w:cs="Calibri" w:hAnsi="Calibri"/>
      <w:kern w:val="2"/>
      <w:sz w:val="21"/>
      <w:szCs w:val="21"/>
      <w:lang w:val="en-US" w:eastAsia="zh-CN" w:bidi="ar-SA"/>
    </w:rPr>
  </w:style>
  <w:style w:type="paragraph" w:customStyle="1" w:styleId="52">
    <w:name w:val="样式 22 10 磅"/>
    <w:pPr>
      <w:widowControl w:val="0"/>
      <w:jc w:val="both"/>
    </w:pPr>
    <w:rPr>
      <w:rFonts w:ascii="Calibri" w:eastAsia="宋体" w:cs="Calibri" w:hAnsi="Calibri"/>
      <w:kern w:val="2"/>
      <w:sz w:val="21"/>
      <w:szCs w:val="21"/>
      <w:lang w:val="en-US" w:eastAsia="zh-CN" w:bidi="ar-SA"/>
    </w:rPr>
  </w:style>
  <w:style w:type="paragraph" w:customStyle="1" w:styleId="53">
    <w:name w:val="样式 23 10 磅"/>
    <w:pPr>
      <w:widowControl w:val="0"/>
      <w:jc w:val="both"/>
    </w:pPr>
    <w:rPr>
      <w:rFonts w:ascii="Calibri" w:eastAsia="宋体" w:cs="Calibri" w:hAnsi="Calibri"/>
      <w:kern w:val="2"/>
      <w:sz w:val="21"/>
      <w:szCs w:val="21"/>
      <w:lang w:val="en-US" w:eastAsia="zh-CN" w:bidi="ar-SA"/>
    </w:rPr>
  </w:style>
  <w:style w:type="paragraph" w:customStyle="1" w:styleId="54">
    <w:name w:val="样式 24 10 磅"/>
    <w:pPr>
      <w:widowControl w:val="0"/>
      <w:jc w:val="both"/>
    </w:pPr>
    <w:rPr>
      <w:rFonts w:ascii="Calibri" w:eastAsia="宋体" w:cs="Calibri" w:hAnsi="Calibri"/>
      <w:kern w:val="2"/>
      <w:sz w:val="21"/>
      <w:szCs w:val="21"/>
      <w:lang w:val="en-US" w:eastAsia="zh-CN" w:bidi="ar-SA"/>
    </w:rPr>
  </w:style>
  <w:style w:type="paragraph" w:customStyle="1" w:styleId="55">
    <w:name w:val="样式 25 10 磅"/>
    <w:pPr>
      <w:widowControl w:val="0"/>
      <w:jc w:val="both"/>
    </w:pPr>
    <w:rPr>
      <w:rFonts w:ascii="Calibri" w:eastAsia="宋体" w:cs="Calibri" w:hAnsi="Calibri"/>
      <w:kern w:val="2"/>
      <w:sz w:val="21"/>
      <w:szCs w:val="21"/>
      <w:lang w:val="en-US" w:eastAsia="zh-CN" w:bidi="ar-SA"/>
    </w:rPr>
  </w:style>
  <w:style w:type="paragraph" w:customStyle="1" w:styleId="56">
    <w:name w:val="样式 26 10 磅"/>
    <w:pPr>
      <w:widowControl w:val="0"/>
      <w:jc w:val="both"/>
    </w:pPr>
    <w:rPr>
      <w:rFonts w:ascii="Calibri" w:eastAsia="宋体" w:cs="Calibri" w:hAnsi="Calibri"/>
      <w:kern w:val="2"/>
      <w:sz w:val="21"/>
      <w:szCs w:val="21"/>
      <w:lang w:val="en-US" w:eastAsia="zh-CN" w:bidi="ar-SA"/>
    </w:rPr>
  </w:style>
  <w:style w:type="paragraph" w:customStyle="1" w:styleId="57">
    <w:name w:val="样式 27 10 磅"/>
    <w:pPr>
      <w:widowControl w:val="0"/>
      <w:jc w:val="both"/>
    </w:pPr>
    <w:rPr>
      <w:rFonts w:ascii="Calibri" w:eastAsia="宋体" w:cs="Calibri" w:hAnsi="Calibri"/>
      <w:kern w:val="2"/>
      <w:sz w:val="21"/>
      <w:szCs w:val="21"/>
      <w:lang w:val="en-US" w:eastAsia="zh-CN" w:bidi="ar-SA"/>
    </w:rPr>
  </w:style>
  <w:style w:type="paragraph" w:customStyle="1" w:styleId="58">
    <w:name w:val="样式 28 10 磅"/>
    <w:pPr>
      <w:widowControl w:val="0"/>
      <w:jc w:val="both"/>
    </w:pPr>
    <w:rPr>
      <w:rFonts w:ascii="Calibri" w:eastAsia="宋体" w:cs="Calibri" w:hAnsi="Calibri"/>
      <w:kern w:val="2"/>
      <w:sz w:val="21"/>
      <w:szCs w:val="21"/>
      <w:lang w:val="en-US" w:eastAsia="zh-CN" w:bidi="ar-SA"/>
    </w:rPr>
  </w:style>
  <w:style w:type="paragraph" w:customStyle="1" w:styleId="59">
    <w:name w:val="样式 29 10 磅"/>
    <w:pPr>
      <w:widowControl w:val="0"/>
      <w:jc w:val="both"/>
    </w:pPr>
    <w:rPr>
      <w:rFonts w:ascii="Calibri" w:eastAsia="宋体" w:cs="Calibri" w:hAnsi="Calibri"/>
      <w:kern w:val="2"/>
      <w:sz w:val="21"/>
      <w:szCs w:val="21"/>
      <w:lang w:val="en-US" w:eastAsia="zh-CN" w:bidi="ar-SA"/>
    </w:rPr>
  </w:style>
  <w:style w:type="paragraph" w:customStyle="1" w:styleId="60">
    <w:name w:val="样式 30 10 磅"/>
    <w:pPr>
      <w:widowControl w:val="0"/>
      <w:jc w:val="both"/>
    </w:pPr>
    <w:rPr>
      <w:rFonts w:ascii="Calibri" w:eastAsia="宋体" w:cs="Calibri" w:hAnsi="Calibri"/>
      <w:kern w:val="2"/>
      <w:sz w:val="21"/>
      <w:szCs w:val="21"/>
      <w:lang w:val="en-US" w:eastAsia="zh-CN" w:bidi="ar-SA"/>
    </w:rPr>
  </w:style>
  <w:style w:type="paragraph" w:customStyle="1" w:styleId="61">
    <w:name w:val="样式 31 10 磅"/>
    <w:pPr>
      <w:widowControl w:val="0"/>
      <w:jc w:val="both"/>
    </w:pPr>
    <w:rPr>
      <w:rFonts w:ascii="Calibri" w:eastAsia="宋体" w:cs="Calibri" w:hAnsi="Calibri"/>
      <w:kern w:val="2"/>
      <w:sz w:val="21"/>
      <w:szCs w:val="21"/>
      <w:lang w:val="en-US" w:eastAsia="zh-CN" w:bidi="ar-SA"/>
    </w:rPr>
  </w:style>
  <w:style w:type="paragraph" w:customStyle="1" w:styleId="62">
    <w:name w:val="样式 32 10 磅"/>
    <w:pPr>
      <w:widowControl w:val="0"/>
      <w:jc w:val="both"/>
    </w:pPr>
    <w:rPr>
      <w:rFonts w:ascii="Calibri" w:eastAsia="宋体" w:cs="Calibri" w:hAnsi="Calibri"/>
      <w:kern w:val="2"/>
      <w:sz w:val="21"/>
      <w:szCs w:val="21"/>
      <w:lang w:val="en-US" w:eastAsia="zh-CN" w:bidi="ar-SA"/>
    </w:rPr>
  </w:style>
  <w:style w:type="paragraph" w:customStyle="1" w:styleId="63">
    <w:name w:val="样式 33 10 磅"/>
    <w:pPr>
      <w:widowControl w:val="0"/>
      <w:jc w:val="both"/>
    </w:pPr>
    <w:rPr>
      <w:rFonts w:ascii="Calibri" w:eastAsia="宋体" w:cs="Calibri" w:hAnsi="Calibri"/>
      <w:kern w:val="2"/>
      <w:sz w:val="21"/>
      <w:szCs w:val="21"/>
      <w:lang w:val="en-US" w:eastAsia="zh-CN" w:bidi="ar-SA"/>
    </w:rPr>
  </w:style>
  <w:style w:type="paragraph" w:customStyle="1" w:styleId="64">
    <w:name w:val="样式 34 10 磅"/>
    <w:pPr>
      <w:widowControl w:val="0"/>
      <w:jc w:val="both"/>
    </w:pPr>
    <w:rPr>
      <w:rFonts w:ascii="Calibri" w:eastAsia="宋体" w:cs="Calibri" w:hAnsi="Calibri"/>
      <w:kern w:val="2"/>
      <w:sz w:val="21"/>
      <w:szCs w:val="21"/>
      <w:lang w:val="en-US" w:eastAsia="zh-CN" w:bidi="ar-SA"/>
    </w:rPr>
  </w:style>
  <w:style w:type="paragraph" w:customStyle="1" w:styleId="65">
    <w:name w:val="样式 35 10 磅"/>
    <w:pPr>
      <w:widowControl w:val="0"/>
      <w:jc w:val="both"/>
    </w:pPr>
    <w:rPr>
      <w:rFonts w:ascii="Calibri" w:eastAsia="宋体" w:cs="Calibri" w:hAnsi="Calibri"/>
      <w:kern w:val="2"/>
      <w:sz w:val="21"/>
      <w:szCs w:val="21"/>
      <w:lang w:val="en-US" w:eastAsia="zh-CN" w:bidi="ar-SA"/>
    </w:rPr>
  </w:style>
  <w:style w:type="paragraph" w:customStyle="1" w:styleId="66">
    <w:name w:val="样式 36 10 磅"/>
    <w:pPr>
      <w:widowControl w:val="0"/>
      <w:jc w:val="both"/>
    </w:pPr>
    <w:rPr>
      <w:rFonts w:ascii="Calibri" w:eastAsia="宋体" w:cs="Calibri" w:hAnsi="Calibri"/>
      <w:kern w:val="2"/>
      <w:sz w:val="21"/>
      <w:szCs w:val="21"/>
      <w:lang w:val="en-US" w:eastAsia="zh-CN" w:bidi="ar-SA"/>
    </w:rPr>
  </w:style>
  <w:style w:type="paragraph" w:customStyle="1" w:styleId="67">
    <w:name w:val="样式 37 10 磅"/>
    <w:pPr>
      <w:widowControl w:val="0"/>
      <w:jc w:val="both"/>
    </w:pPr>
    <w:rPr>
      <w:rFonts w:ascii="Calibri" w:eastAsia="宋体" w:cs="Calibri" w:hAnsi="Calibri"/>
      <w:kern w:val="2"/>
      <w:sz w:val="21"/>
      <w:szCs w:val="21"/>
      <w:lang w:val="en-US" w:eastAsia="zh-CN" w:bidi="ar-SA"/>
    </w:rPr>
  </w:style>
  <w:style w:type="paragraph" w:customStyle="1" w:styleId="68">
    <w:name w:val="样式 38 10 磅"/>
    <w:pPr>
      <w:widowControl w:val="0"/>
      <w:jc w:val="both"/>
    </w:pPr>
    <w:rPr>
      <w:rFonts w:ascii="Calibri" w:eastAsia="宋体" w:cs="Calibri" w:hAnsi="Calibri"/>
      <w:kern w:val="2"/>
      <w:sz w:val="21"/>
      <w:szCs w:val="21"/>
      <w:lang w:val="en-US" w:eastAsia="zh-CN" w:bidi="ar-SA"/>
    </w:rPr>
  </w:style>
  <w:style w:type="paragraph" w:customStyle="1" w:styleId="69">
    <w:name w:val="样式 39 10 磅"/>
    <w:pPr>
      <w:widowControl w:val="0"/>
      <w:jc w:val="both"/>
    </w:pPr>
    <w:rPr>
      <w:rFonts w:ascii="Calibri" w:eastAsia="宋体" w:cs="Calibri" w:hAnsi="Calibri"/>
      <w:kern w:val="2"/>
      <w:sz w:val="21"/>
      <w:szCs w:val="21"/>
      <w:lang w:val="en-US" w:eastAsia="zh-CN" w:bidi="ar-SA"/>
    </w:rPr>
  </w:style>
  <w:style w:type="paragraph" w:customStyle="1" w:styleId="70">
    <w:name w:val="样式 40 10 磅"/>
    <w:pPr>
      <w:widowControl w:val="0"/>
      <w:jc w:val="both"/>
    </w:pPr>
    <w:rPr>
      <w:rFonts w:ascii="Calibri" w:eastAsia="宋体" w:cs="Calibri" w:hAnsi="Calibri"/>
      <w:kern w:val="2"/>
      <w:sz w:val="21"/>
      <w:szCs w:val="21"/>
      <w:lang w:val="en-US" w:eastAsia="zh-CN" w:bidi="ar-SA"/>
    </w:rPr>
  </w:style>
  <w:style w:type="paragraph" w:customStyle="1" w:styleId="71">
    <w:name w:val="样式 41 10 磅"/>
    <w:pPr>
      <w:widowControl w:val="0"/>
      <w:jc w:val="both"/>
    </w:pPr>
    <w:rPr>
      <w:rFonts w:ascii="Calibri" w:eastAsia="宋体" w:cs="Calibri" w:hAnsi="Calibri"/>
      <w:kern w:val="2"/>
      <w:sz w:val="21"/>
      <w:szCs w:val="21"/>
      <w:lang w:val="en-US" w:eastAsia="zh-CN" w:bidi="ar-SA"/>
    </w:rPr>
  </w:style>
  <w:style w:type="paragraph" w:customStyle="1" w:styleId="72">
    <w:name w:val="样式 42 10 磅"/>
    <w:pPr>
      <w:widowControl w:val="0"/>
      <w:jc w:val="both"/>
    </w:pPr>
    <w:rPr>
      <w:rFonts w:ascii="Calibri" w:eastAsia="宋体" w:cs="Calibri" w:hAnsi="Calibri"/>
      <w:kern w:val="2"/>
      <w:sz w:val="21"/>
      <w:szCs w:val="21"/>
      <w:lang w:val="en-US" w:eastAsia="zh-CN" w:bidi="ar-SA"/>
    </w:rPr>
  </w:style>
  <w:style w:type="paragraph" w:customStyle="1" w:styleId="73">
    <w:name w:val="样式 43 10 磅"/>
    <w:pPr>
      <w:widowControl w:val="0"/>
      <w:jc w:val="both"/>
    </w:pPr>
    <w:rPr>
      <w:rFonts w:ascii="Calibri" w:eastAsia="宋体" w:cs="Calibri" w:hAnsi="Calibri"/>
      <w:kern w:val="2"/>
      <w:sz w:val="21"/>
      <w:szCs w:val="21"/>
      <w:lang w:val="en-US" w:eastAsia="zh-CN" w:bidi="ar-SA"/>
    </w:rPr>
  </w:style>
  <w:style w:type="paragraph" w:customStyle="1" w:styleId="74">
    <w:name w:val="样式 44 10 磅"/>
    <w:pPr>
      <w:widowControl w:val="0"/>
      <w:jc w:val="both"/>
    </w:pPr>
    <w:rPr>
      <w:rFonts w:ascii="Calibri" w:eastAsia="宋体" w:cs="Calibri" w:hAnsi="Calibri"/>
      <w:kern w:val="2"/>
      <w:sz w:val="21"/>
      <w:szCs w:val="21"/>
      <w:lang w:val="en-US" w:eastAsia="zh-CN" w:bidi="ar-SA"/>
    </w:rPr>
  </w:style>
  <w:style w:type="paragraph" w:customStyle="1" w:styleId="75">
    <w:name w:val="样式 45 10 磅"/>
    <w:pPr>
      <w:widowControl w:val="0"/>
      <w:jc w:val="both"/>
    </w:pPr>
    <w:rPr>
      <w:rFonts w:ascii="Calibri" w:eastAsia="宋体" w:cs="Calibri" w:hAnsi="Calibri"/>
      <w:kern w:val="2"/>
      <w:sz w:val="21"/>
      <w:szCs w:val="21"/>
      <w:lang w:val="en-US" w:eastAsia="zh-CN" w:bidi="ar-SA"/>
    </w:rPr>
  </w:style>
  <w:style w:type="paragraph" w:customStyle="1" w:styleId="76">
    <w:name w:val="样式 46 10 磅"/>
    <w:pPr>
      <w:widowControl w:val="0"/>
      <w:jc w:val="both"/>
    </w:pPr>
    <w:rPr>
      <w:rFonts w:ascii="Calibri" w:eastAsia="宋体" w:cs="Calibri" w:hAnsi="Calibri"/>
      <w:kern w:val="2"/>
      <w:sz w:val="21"/>
      <w:szCs w:val="21"/>
      <w:lang w:val="en-US" w:eastAsia="zh-CN" w:bidi="ar-SA"/>
    </w:rPr>
  </w:style>
  <w:style w:type="paragraph" w:customStyle="1" w:styleId="77">
    <w:name w:val="样式 47 10 磅"/>
    <w:pPr>
      <w:widowControl w:val="0"/>
      <w:jc w:val="both"/>
    </w:pPr>
    <w:rPr>
      <w:rFonts w:ascii="Calibri" w:eastAsia="宋体" w:cs="Calibri" w:hAnsi="Calibri"/>
      <w:kern w:val="2"/>
      <w:sz w:val="21"/>
      <w:szCs w:val="21"/>
      <w:lang w:val="en-US" w:eastAsia="zh-CN" w:bidi="ar-SA"/>
    </w:rPr>
  </w:style>
  <w:style w:type="paragraph" w:customStyle="1" w:styleId="78">
    <w:name w:val="样式 48 10 磅"/>
    <w:pPr>
      <w:widowControl w:val="0"/>
      <w:jc w:val="both"/>
    </w:pPr>
    <w:rPr>
      <w:rFonts w:ascii="Calibri" w:eastAsia="宋体" w:cs="Calibri" w:hAnsi="Calibri"/>
      <w:kern w:val="2"/>
      <w:sz w:val="21"/>
      <w:szCs w:val="21"/>
      <w:lang w:val="en-US" w:eastAsia="zh-CN" w:bidi="ar-SA"/>
    </w:rPr>
  </w:style>
  <w:style w:type="paragraph" w:customStyle="1" w:styleId="79">
    <w:name w:val="样式 49 10 磅"/>
    <w:pPr>
      <w:widowControl w:val="0"/>
      <w:jc w:val="both"/>
    </w:pPr>
    <w:rPr>
      <w:rFonts w:ascii="Calibri" w:eastAsia="宋体" w:cs="Calibri" w:hAnsi="Calibri"/>
      <w:kern w:val="2"/>
      <w:sz w:val="21"/>
      <w:szCs w:val="21"/>
      <w:lang w:val="en-US" w:eastAsia="zh-CN" w:bidi="ar-SA"/>
    </w:rPr>
  </w:style>
  <w:style w:type="paragraph" w:customStyle="1" w:styleId="80">
    <w:name w:val="样式 50 10 磅"/>
    <w:pPr>
      <w:widowControl w:val="0"/>
      <w:jc w:val="both"/>
    </w:pPr>
    <w:rPr>
      <w:rFonts w:ascii="Calibri" w:eastAsia="宋体" w:cs="Calibri" w:hAnsi="Calibri"/>
      <w:kern w:val="2"/>
      <w:sz w:val="21"/>
      <w:szCs w:val="21"/>
      <w:lang w:val="en-US" w:eastAsia="zh-CN" w:bidi="ar-SA"/>
    </w:rPr>
  </w:style>
  <w:style w:type="paragraph" w:customStyle="1" w:styleId="81">
    <w:name w:val="样式 51 10 磅"/>
    <w:pPr>
      <w:widowControl w:val="0"/>
      <w:jc w:val="both"/>
    </w:pPr>
    <w:rPr>
      <w:rFonts w:ascii="Calibri" w:eastAsia="宋体" w:cs="Calibri" w:hAnsi="Calibri"/>
      <w:kern w:val="2"/>
      <w:sz w:val="21"/>
      <w:szCs w:val="21"/>
      <w:lang w:val="en-US" w:eastAsia="zh-CN" w:bidi="ar-SA"/>
    </w:rPr>
  </w:style>
  <w:style w:type="paragraph" w:customStyle="1" w:styleId="82">
    <w:name w:val="样式 52 10 磅"/>
    <w:pPr>
      <w:widowControl w:val="0"/>
      <w:jc w:val="both"/>
    </w:pPr>
    <w:rPr>
      <w:rFonts w:ascii="Calibri" w:eastAsia="宋体" w:cs="Calibri" w:hAnsi="Calibri"/>
      <w:kern w:val="2"/>
      <w:sz w:val="21"/>
      <w:szCs w:val="21"/>
      <w:lang w:val="en-US" w:eastAsia="zh-CN" w:bidi="ar-SA"/>
    </w:rPr>
  </w:style>
  <w:style w:type="paragraph" w:customStyle="1" w:styleId="83">
    <w:name w:val="样式 53 10 磅"/>
    <w:pPr>
      <w:widowControl w:val="0"/>
      <w:jc w:val="both"/>
    </w:pPr>
    <w:rPr>
      <w:rFonts w:ascii="Calibri" w:eastAsia="宋体" w:cs="Calibri" w:hAnsi="Calibri"/>
      <w:kern w:val="2"/>
      <w:sz w:val="21"/>
      <w:szCs w:val="21"/>
      <w:lang w:val="en-US" w:eastAsia="zh-CN" w:bidi="ar-SA"/>
    </w:rPr>
  </w:style>
  <w:style w:type="paragraph" w:customStyle="1" w:styleId="84">
    <w:name w:val="样式 54 10 磅"/>
    <w:pPr>
      <w:widowControl w:val="0"/>
      <w:jc w:val="both"/>
    </w:pPr>
    <w:rPr>
      <w:rFonts w:ascii="Calibri" w:eastAsia="宋体" w:cs="Calibri" w:hAnsi="Calibri"/>
      <w:kern w:val="2"/>
      <w:sz w:val="21"/>
      <w:szCs w:val="21"/>
      <w:lang w:val="en-US" w:eastAsia="zh-CN" w:bidi="ar-SA"/>
    </w:rPr>
  </w:style>
  <w:style w:type="paragraph" w:customStyle="1" w:styleId="85">
    <w:name w:val="样式 55 10 磅"/>
    <w:pPr>
      <w:widowControl w:val="0"/>
      <w:jc w:val="both"/>
    </w:pPr>
    <w:rPr>
      <w:rFonts w:ascii="Calibri" w:eastAsia="宋体" w:cs="Calibri" w:hAnsi="Calibri"/>
      <w:kern w:val="2"/>
      <w:sz w:val="21"/>
      <w:szCs w:val="21"/>
      <w:lang w:val="en-US" w:eastAsia="zh-CN" w:bidi="ar-SA"/>
    </w:rPr>
  </w:style>
  <w:style w:type="paragraph" w:customStyle="1" w:styleId="86">
    <w:name w:val="样式 56 10 磅"/>
    <w:pPr>
      <w:widowControl w:val="0"/>
      <w:jc w:val="both"/>
    </w:pPr>
    <w:rPr>
      <w:rFonts w:ascii="Calibri" w:eastAsia="宋体" w:cs="Calibri" w:hAnsi="Calibri"/>
      <w:kern w:val="2"/>
      <w:sz w:val="21"/>
      <w:szCs w:val="21"/>
      <w:lang w:val="en-US" w:eastAsia="zh-CN" w:bidi="ar-SA"/>
    </w:rPr>
  </w:style>
  <w:style w:type="paragraph" w:customStyle="1" w:styleId="87">
    <w:name w:val="样式 57 10 磅"/>
    <w:pPr>
      <w:widowControl w:val="0"/>
      <w:jc w:val="both"/>
    </w:pPr>
    <w:rPr>
      <w:rFonts w:ascii="Calibri" w:eastAsia="宋体" w:cs="Calibri" w:hAnsi="Calibri"/>
      <w:kern w:val="2"/>
      <w:sz w:val="21"/>
      <w:szCs w:val="21"/>
      <w:lang w:val="en-US" w:eastAsia="zh-CN" w:bidi="ar-SA"/>
    </w:rPr>
  </w:style>
  <w:style w:type="paragraph" w:customStyle="1" w:styleId="88">
    <w:name w:val="样式 58 10 磅"/>
    <w:pPr>
      <w:widowControl w:val="0"/>
      <w:jc w:val="both"/>
    </w:pPr>
    <w:rPr>
      <w:rFonts w:ascii="Calibri" w:eastAsia="宋体" w:cs="Calibri" w:hAnsi="Calibri"/>
      <w:kern w:val="2"/>
      <w:sz w:val="21"/>
      <w:szCs w:val="21"/>
      <w:lang w:val="en-US" w:eastAsia="zh-CN" w:bidi="ar-SA"/>
    </w:rPr>
  </w:style>
  <w:style w:type="paragraph" w:customStyle="1" w:styleId="89">
    <w:name w:val="样式 59 10 磅"/>
    <w:pPr>
      <w:widowControl w:val="0"/>
      <w:jc w:val="both"/>
    </w:pPr>
    <w:rPr>
      <w:rFonts w:ascii="Calibri" w:eastAsia="宋体" w:cs="Calibri" w:hAnsi="Calibri"/>
      <w:kern w:val="2"/>
      <w:sz w:val="21"/>
      <w:szCs w:val="21"/>
      <w:lang w:val="en-US" w:eastAsia="zh-CN" w:bidi="ar-SA"/>
    </w:rPr>
  </w:style>
  <w:style w:type="paragraph" w:customStyle="1" w:styleId="90">
    <w:name w:val="样式 60 10 磅"/>
    <w:pPr>
      <w:widowControl w:val="0"/>
      <w:jc w:val="both"/>
    </w:pPr>
    <w:rPr>
      <w:rFonts w:ascii="Calibri" w:eastAsia="宋体" w:cs="Calibri" w:hAnsi="Calibri"/>
      <w:kern w:val="2"/>
      <w:sz w:val="21"/>
      <w:szCs w:val="21"/>
      <w:lang w:val="en-US" w:eastAsia="zh-CN" w:bidi="ar-SA"/>
    </w:rPr>
  </w:style>
  <w:style w:type="paragraph" w:customStyle="1" w:styleId="91">
    <w:name w:val="样式 61 10 磅"/>
    <w:pPr>
      <w:widowControl w:val="0"/>
      <w:jc w:val="both"/>
    </w:pPr>
    <w:rPr>
      <w:rFonts w:ascii="Calibri" w:eastAsia="宋体" w:cs="Calibri" w:hAnsi="Calibri"/>
      <w:kern w:val="2"/>
      <w:sz w:val="21"/>
      <w:szCs w:val="21"/>
      <w:lang w:val="en-US" w:eastAsia="zh-CN" w:bidi="ar-SA"/>
    </w:rPr>
  </w:style>
  <w:style w:type="paragraph" w:customStyle="1" w:styleId="92">
    <w:name w:val="样式 62 10 磅"/>
    <w:pPr>
      <w:widowControl w:val="0"/>
      <w:jc w:val="both"/>
    </w:pPr>
    <w:rPr>
      <w:rFonts w:ascii="Calibri" w:eastAsia="宋体" w:cs="Calibri" w:hAnsi="Calibri"/>
      <w:kern w:val="2"/>
      <w:sz w:val="21"/>
      <w:szCs w:val="21"/>
      <w:lang w:val="en-US" w:eastAsia="zh-CN" w:bidi="ar-SA"/>
    </w:rPr>
  </w:style>
  <w:style w:type="paragraph" w:customStyle="1" w:styleId="93">
    <w:name w:val="样式 63 10 磅"/>
    <w:pPr>
      <w:widowControl w:val="0"/>
      <w:jc w:val="both"/>
    </w:pPr>
    <w:rPr>
      <w:rFonts w:ascii="Calibri" w:eastAsia="宋体" w:cs="Calibri" w:hAnsi="Calibri"/>
      <w:kern w:val="2"/>
      <w:sz w:val="21"/>
      <w:szCs w:val="21"/>
      <w:lang w:val="en-US" w:eastAsia="zh-CN" w:bidi="ar-SA"/>
    </w:rPr>
  </w:style>
  <w:style w:type="paragraph" w:customStyle="1" w:styleId="94">
    <w:name w:val="样式 64 10 磅"/>
    <w:pPr>
      <w:widowControl w:val="0"/>
      <w:jc w:val="both"/>
    </w:pPr>
    <w:rPr>
      <w:rFonts w:ascii="Calibri" w:eastAsia="宋体" w:cs="Calibri" w:hAnsi="Calibri"/>
      <w:kern w:val="2"/>
      <w:sz w:val="21"/>
      <w:szCs w:val="21"/>
      <w:lang w:val="en-US" w:eastAsia="zh-CN" w:bidi="ar-SA"/>
    </w:rPr>
  </w:style>
  <w:style w:type="paragraph" w:customStyle="1" w:styleId="95">
    <w:name w:val="样式 65 10 磅"/>
    <w:pPr>
      <w:widowControl w:val="0"/>
      <w:jc w:val="both"/>
    </w:pPr>
    <w:rPr>
      <w:rFonts w:ascii="Calibri" w:eastAsia="宋体" w:cs="Calibri" w:hAnsi="Calibri"/>
      <w:kern w:val="2"/>
      <w:sz w:val="21"/>
      <w:szCs w:val="21"/>
      <w:lang w:val="en-US" w:eastAsia="zh-CN" w:bidi="ar-SA"/>
    </w:rPr>
  </w:style>
  <w:style w:type="paragraph" w:customStyle="1" w:styleId="96">
    <w:name w:val="样式 66 10 磅"/>
    <w:pPr>
      <w:widowControl w:val="0"/>
      <w:jc w:val="both"/>
    </w:pPr>
    <w:rPr>
      <w:rFonts w:ascii="Calibri" w:eastAsia="宋体" w:cs="Calibri" w:hAnsi="Calibri"/>
      <w:kern w:val="2"/>
      <w:sz w:val="21"/>
      <w:szCs w:val="21"/>
      <w:lang w:val="en-US" w:eastAsia="zh-CN" w:bidi="ar-SA"/>
    </w:rPr>
  </w:style>
  <w:style w:type="paragraph" w:customStyle="1" w:styleId="97">
    <w:name w:val="样式 67 10 磅"/>
    <w:pPr>
      <w:widowControl w:val="0"/>
      <w:jc w:val="both"/>
    </w:pPr>
    <w:rPr>
      <w:rFonts w:ascii="Calibri" w:eastAsia="宋体" w:cs="Calibri" w:hAnsi="Calibri"/>
      <w:kern w:val="2"/>
      <w:sz w:val="21"/>
      <w:szCs w:val="21"/>
      <w:lang w:val="en-US" w:eastAsia="zh-CN" w:bidi="ar-SA"/>
    </w:rPr>
  </w:style>
  <w:style w:type="paragraph" w:customStyle="1" w:styleId="98">
    <w:name w:val="样式 68 10 磅"/>
    <w:pPr>
      <w:widowControl w:val="0"/>
      <w:jc w:val="both"/>
    </w:pPr>
    <w:rPr>
      <w:rFonts w:ascii="Calibri" w:eastAsia="宋体" w:cs="Calibri" w:hAnsi="Calibri"/>
      <w:kern w:val="2"/>
      <w:sz w:val="21"/>
      <w:szCs w:val="21"/>
      <w:lang w:val="en-US" w:eastAsia="zh-CN" w:bidi="ar-SA"/>
    </w:rPr>
  </w:style>
  <w:style w:type="paragraph" w:customStyle="1" w:styleId="99">
    <w:name w:val="样式 69 10 磅"/>
    <w:pPr>
      <w:widowControl w:val="0"/>
      <w:jc w:val="both"/>
    </w:pPr>
    <w:rPr>
      <w:rFonts w:ascii="Calibri" w:eastAsia="宋体" w:cs="Calibri" w:hAnsi="Calibri"/>
      <w:kern w:val="2"/>
      <w:sz w:val="21"/>
      <w:szCs w:val="21"/>
      <w:lang w:val="en-US" w:eastAsia="zh-CN" w:bidi="ar-SA"/>
    </w:rPr>
  </w:style>
</w:styles>
</file>

<file path=word/_rels/document.xml.rels><?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styles" Target="styles.xml"/><Relationship Id="rId3" Type="http://schemas.openxmlformats.org/officeDocument/2006/relationships/fontTable" Target="fontTable.xml"/></Relationships>
</file>

<file path=docProps/app.xml><?xml version="1.0" encoding="utf-8"?>
<Properties xmlns="http://schemas.openxmlformats.org/officeDocument/2006/extended-properties">
  <Template>Normal.eit</Template>
  <TotalTime>1055</TotalTime>
  <Application>Yozo_Office</Application>
  <Pages>12</Pages>
  <Words>12377</Words>
  <Characters>13488</Characters>
  <Lines>377</Lines>
  <Paragraphs>191</Paragraphs>
  <CharactersWithSpaces>13615</CharactersWithSpaces>
  <Company>Microsoft</Company>
</Properties>
</file>

<file path=docProps/core.xml><?xml version="1.0" encoding="utf-8"?>
<cp:coreProperties xmlns:cp="http://schemas.openxmlformats.org/package/2006/metadata/core-properties" xmlns:dc="http://purl.org/dc/elements/1.1/" xmlns:dcterms="http://purl.org/dc/terms/" xmlns:xsi="http://www.w3.org/2001/XMLSchema-instance">
  <dc:title>武汉海关关于发布境外技术性贸易措施风险信息的提示</dc:title>
  <dc:creator>曾繁</dc:creator>
  <cp:lastModifiedBy>汪绍文</cp:lastModifiedBy>
  <cp:revision>5</cp:revision>
  <dcterms:created xsi:type="dcterms:W3CDTF">2024-01-26T03:30:00Z</dcterms:created>
  <dcterms:modified xsi:type="dcterms:W3CDTF">2026-03-12T08:09:40Z</dcterms:modified>
</cp:coreProperties>
</file>

<file path=docProps/custom.xml><?xml version="1.0" encoding="utf-8"?>
<Properties xmlns:vt="http://schemas.openxmlformats.org/officeDocument/2006/docPropsVTypes" xmlns="http://schemas.openxmlformats.org/officeDocument/2006/custom-properties">
  <property fmtid="{D5CDD505-2E9C-101B-9397-08002B2CF9AE}" pid="2" name="KSOProductBuildVer">
    <vt:lpwstr>2052-11.1.0.13703</vt:lpwstr>
  </property>
  <property fmtid="{D5CDD505-2E9C-101B-9397-08002B2CF9AE}" pid="3" name="ICV">
    <vt:lpwstr>CF9849E3307943108F88771BECF146AD</vt:lpwstr>
  </property>
</Properties>
</file>