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utoSpaceDN w:val="0"/>
        <w:adjustRightInd w:val="0"/>
        <w:snapToGrid w:val="0"/>
        <w:spacing w:line="560" w:lineRule="exact"/>
        <w:ind w:firstLine="420"/>
        <w:jc w:val="center"/>
        <w:rPr>
          <w:rFonts w:ascii="方正小标宋_GBK" w:eastAsia="方正小标宋_GBK" w:cs="Times New Roman"/>
          <w:sz w:val="44"/>
          <w:szCs w:val="44"/>
        </w:rPr>
      </w:pPr>
      <w:bookmarkStart w:id="0" w:name="_GoBack"/>
      <w:bookmarkEnd w:id="0"/>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202602</w:t>
      </w:r>
      <w:r>
        <w:rPr>
          <w:rFonts w:ascii="方正楷体_GBK" w:eastAsia="方正楷体_GBK" w:cs="方正楷体_GBK" w:hint="eastAsia"/>
          <w:sz w:val="32"/>
          <w:szCs w:val="32"/>
        </w:rPr>
        <w:t>期总第</w:t>
      </w:r>
      <w:r>
        <w:rPr>
          <w:rFonts w:ascii="方正楷体_GBK" w:eastAsia="方正楷体_GBK" w:cs="方正楷体_GBK"/>
          <w:sz w:val="32"/>
          <w:szCs w:val="32"/>
        </w:rPr>
        <w:t>69</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383"/>
        <w:gridCol w:w="659"/>
        <w:gridCol w:w="12131"/>
      </w:tblGrid>
      <w:tr>
        <w:trPr>
          <w:trHeight w:val="593"/>
        </w:trPr>
        <w:tc>
          <w:tcPr>
            <w:tcW w:w="1383"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659"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131"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1861"/>
        </w:trPr>
        <w:tc>
          <w:tcPr>
            <w:tcW w:w="1383" w:type="dxa"/>
            <w:vMerge w:val="restart"/>
            <w:vAlign w:val="center"/>
          </w:tcPr>
          <w:p>
            <w:pPr>
              <w:pStyle w:val="100"/>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131" w:type="dxa"/>
            <w:vAlign w:val="center"/>
          </w:tcPr>
          <w:p>
            <w:pPr>
              <w:jc w:val="left"/>
              <w:rPr>
                <w:rFonts w:ascii="宋体" w:cs="宋体" w:hint="eastAsia"/>
                <w:sz w:val="22"/>
              </w:rPr>
            </w:pPr>
            <w:r>
              <w:rPr>
                <w:rFonts w:ascii="宋体" w:cs="宋体" w:hint="eastAsia"/>
                <w:sz w:val="22"/>
              </w:rPr>
              <w:t>模拟电信中继服务现代化。在本文件中，联邦通信委员会提议对其电信中继服务（TRS）规则进行现代化改造，并寻求就逐步取消州TRS计划下传统基于TTY的中继服务（TTY中继）的强制性地位进行评议；识别基于因特网的TRS的附加形式，诸如基于因特网协议语音到语音(IP STS)和实时文本(RTT)的中继作为TRS的可补偿形式；为模拟继电器提供商以及用户注册和验证要求建立临时的国家认证流程；以及更新或消除所有形式的TRS的过时规则。通过这些提案，委员会旨在使TRS与当今的通信格局保持一致，更好地满足中继用户的需求，通过从传统通信网络过渡到现代基于IP的网络来确保TRS的持续可用性，并通过防止浪费、欺诈和滥用来继续保护TRS计划的完整性。</w:t>
            </w:r>
          </w:p>
        </w:tc>
      </w:tr>
      <w:tr>
        <w:trPr>
          <w:trHeight w:val="1564"/>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131" w:type="dxa"/>
            <w:vAlign w:val="center"/>
          </w:tcPr>
          <w:p>
            <w:pPr>
              <w:jc w:val="left"/>
              <w:rPr>
                <w:rFonts w:ascii="宋体" w:cs="宋体" w:hint="eastAsia"/>
                <w:sz w:val="22"/>
              </w:rPr>
            </w:pPr>
            <w:r>
              <w:rPr>
                <w:rFonts w:ascii="宋体" w:cs="宋体" w:hint="eastAsia"/>
                <w:sz w:val="22"/>
              </w:rPr>
              <w:t>美国环境保护署（EPA）宣布根据有毒物质控制法案（TSCA）对1,3-丁二烯（CASRN 106-99-0）进行最终风险评估。TSCA下风险评估的目的是确定化学物质在使用条件下是否对健康或环境构成不合理的伤害风险，包括对EPA确定的与风险评估相关的潜在暴露或易感亚人群的不合理风险，并且不考虑成本或非风险因素。EPA利用现有的最佳科学来准备这份最终风险评估，并根据科学证据的分量确定，1,3-丁二烯在特定使用条件下对人类健康构成不合理的风险。EPA现在将启动风险管理行动来解决不合理的风险。</w:t>
            </w:r>
          </w:p>
        </w:tc>
      </w:tr>
      <w:tr>
        <w:trPr>
          <w:trHeight w:val="1237"/>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131" w:type="dxa"/>
            <w:vAlign w:val="center"/>
          </w:tcPr>
          <w:p>
            <w:pPr>
              <w:jc w:val="left"/>
              <w:rPr>
                <w:rFonts w:ascii="宋体" w:cs="宋体" w:hint="eastAsia"/>
                <w:sz w:val="22"/>
              </w:rPr>
            </w:pPr>
            <w:r>
              <w:rPr>
                <w:rFonts w:ascii="宋体" w:cs="宋体" w:hint="eastAsia"/>
                <w:sz w:val="22"/>
              </w:rPr>
              <w:t>请除名有害空气污染物：苯甲酸2-丁氧基乙酯（2-BEB）。美国环境保护署（EPA）提议批准一项申请，将苯甲酸2-丁氧基乙酯（2-BEB）（化学文摘社（CAS）编号5451-76-3）从乙二醇中删除《清洁空气法案》有害空气污染物清单中的醚类类别。环境保护局建议发现有足够的关于2-BEB对健康或环境影响的数据来支持移除请求。这一行动还详细说明了未来请愿书审查过程的简化方法。</w:t>
            </w:r>
          </w:p>
        </w:tc>
      </w:tr>
      <w:tr>
        <w:trPr>
          <w:trHeight w:val="613"/>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131" w:type="dxa"/>
            <w:vAlign w:val="center"/>
          </w:tcPr>
          <w:p>
            <w:pPr>
              <w:jc w:val="left"/>
              <w:rPr>
                <w:rFonts w:ascii="宋体" w:cs="宋体" w:hint="eastAsia"/>
                <w:sz w:val="22"/>
              </w:rPr>
            </w:pPr>
            <w:r>
              <w:rPr>
                <w:rFonts w:ascii="宋体" w:cs="宋体" w:hint="eastAsia"/>
                <w:sz w:val="22"/>
              </w:rPr>
              <w:t>更安全的消费品法规。将含有浓度大于百万分之一的1,4-二恶烷的洗洁精和洗发水作为优先产品添加到优先产品列表中。</w:t>
            </w:r>
          </w:p>
        </w:tc>
      </w:tr>
      <w:tr>
        <w:trPr>
          <w:trHeight w:val="925"/>
        </w:trPr>
        <w:tc>
          <w:tcPr>
            <w:tcW w:w="1383" w:type="dxa"/>
            <w:vMerge w:val="restart"/>
            <w:tcBorders>
              <w:tl2br w:val="nil"/>
              <w:tr2bl w:val="nil"/>
            </w:tcBorders>
            <w:vAlign w:val="center"/>
          </w:tcPr>
          <w:p>
            <w:pPr>
              <w:pStyle w:val="101"/>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阿根廷</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131" w:type="dxa"/>
            <w:vAlign w:val="center"/>
          </w:tcPr>
          <w:p>
            <w:pPr>
              <w:jc w:val="left"/>
              <w:rPr>
                <w:rFonts w:ascii="宋体" w:cs="宋体" w:hint="eastAsia"/>
                <w:sz w:val="22"/>
              </w:rPr>
            </w:pPr>
            <w:r>
              <w:rPr>
                <w:rFonts w:ascii="宋体" w:cs="宋体" w:hint="eastAsia"/>
                <w:sz w:val="22"/>
              </w:rPr>
              <w:t>GMC第03/25号决议草案修订版1-南方共同市场包装食品标签技术法规（废除GMC第06/94号和第26/03号决议）。通知的决议草案对应于GMC第26/03号和第06/94号决议的更新，规定了在消费者缺席的情况下包装食品的一般标签要求，包括提高信息可读性的规范。</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131" w:type="dxa"/>
            <w:vAlign w:val="center"/>
          </w:tcPr>
          <w:p>
            <w:pPr>
              <w:jc w:val="left"/>
              <w:rPr>
                <w:rFonts w:ascii="宋体" w:cs="宋体" w:hint="eastAsia"/>
                <w:sz w:val="22"/>
              </w:rPr>
            </w:pPr>
            <w:r>
              <w:rPr>
                <w:rFonts w:ascii="宋体" w:cs="宋体" w:hint="eastAsia"/>
                <w:sz w:val="22"/>
              </w:rPr>
              <w:t>GMC第05/25号决议草案——南方共同市场关于包装食品营养标签的技术法规（废除GMC第44/03、46/03、48/06和40/11号决议）。通知的决议草案对应于更新GMC第46/03号决议的提案，规定了包装食品营养标签的要求。</w:t>
            </w:r>
          </w:p>
        </w:tc>
      </w:tr>
      <w:tr>
        <w:trPr>
          <w:trHeight w:val="1237"/>
        </w:trPr>
        <w:tc>
          <w:tcPr>
            <w:tcW w:w="1383" w:type="dxa"/>
            <w:vMerge w:val="restart"/>
            <w:tcBorders>
              <w:tl2br w:val="nil"/>
              <w:tr2bl w:val="nil"/>
            </w:tcBorders>
            <w:vAlign w:val="center"/>
          </w:tcPr>
          <w:p>
            <w:pPr>
              <w:pStyle w:val="102"/>
              <w:widowControl/>
              <w:jc w:val="center"/>
              <w:textAlignment w:val="center"/>
              <w:rPr>
                <w:rFonts w:ascii="宋体" w:cs="宋体"/>
                <w:sz w:val="22"/>
              </w:rPr>
            </w:pPr>
            <w:r>
              <w:rPr>
                <w:rFonts w:ascii="宋体" w:cs="宋体"/>
                <w:sz w:val="22"/>
              </w:rPr>
              <w:t>埃及</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131" w:type="dxa"/>
            <w:vAlign w:val="center"/>
          </w:tcPr>
          <w:p>
            <w:pPr>
              <w:jc w:val="left"/>
              <w:rPr>
                <w:rFonts w:ascii="宋体" w:cs="宋体" w:hint="eastAsia"/>
                <w:sz w:val="22"/>
              </w:rPr>
            </w:pPr>
            <w:r>
              <w:rPr>
                <w:rFonts w:ascii="宋体" w:cs="宋体" w:hint="eastAsia"/>
                <w:sz w:val="22"/>
              </w:rPr>
              <w:t>埃及标准ES 5824“医用电气设备——婴儿辐射取暖器基本安全和基本性能的特殊要求”草案。埃及标准ES 5824草案规定了婴儿辐射取暖器的安全要求，但如果制造商已在其风险管理文件中证明，通过证明等效安全性，符合特定条款的替代方法不会被判定为不合规。当与设备的治疗益处进行权衡时，危害带来的风险已被发现处于可接受的水平。值得一提的是，该标准草案在技术上与IEC 60601-2-21:20 0+Amd1/2023相同。</w:t>
            </w:r>
          </w:p>
        </w:tc>
      </w:tr>
      <w:tr>
        <w:trPr>
          <w:trHeight w:val="123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131" w:type="dxa"/>
            <w:vAlign w:val="center"/>
          </w:tcPr>
          <w:p>
            <w:pPr>
              <w:jc w:val="left"/>
              <w:rPr>
                <w:rFonts w:ascii="宋体" w:cs="宋体" w:hint="eastAsia"/>
                <w:sz w:val="22"/>
              </w:rPr>
            </w:pPr>
            <w:r>
              <w:rPr>
                <w:rFonts w:ascii="宋体" w:cs="宋体" w:hint="eastAsia"/>
                <w:sz w:val="22"/>
              </w:rPr>
              <w:t>埃及标准ES 5807“医用电气设备——婴儿光疗设备基本安全和基本性能的特殊要求”草案。埃及标准ES 5807草案规定了婴儿光疗设备的安全要求，但如果制造商已在其风险管理文件中证明，当与设备的治疗益处进行权衡时，危害带来的风险已被发现处于可接受的水平，则通过证明等效安全性来遵守特定条款的替代方法不会被判定为不合规。值得一提的是，该标准草案在技术上与IEC 60601-2-50：2020相同。</w:t>
            </w:r>
          </w:p>
        </w:tc>
      </w:tr>
      <w:tr>
        <w:trPr>
          <w:trHeight w:val="123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131" w:type="dxa"/>
            <w:vAlign w:val="center"/>
          </w:tcPr>
          <w:p>
            <w:pPr>
              <w:jc w:val="left"/>
              <w:rPr>
                <w:rFonts w:ascii="宋体" w:cs="宋体" w:hint="eastAsia"/>
                <w:sz w:val="22"/>
              </w:rPr>
            </w:pPr>
            <w:r>
              <w:rPr>
                <w:rFonts w:ascii="宋体" w:cs="宋体" w:hint="eastAsia"/>
                <w:sz w:val="22"/>
              </w:rPr>
              <w:t>埃及“饮用水大气水发生器性能要求”标准草案。埃及标准草案已被指定测试使用点和商业饮用水产生系统，这些系统设计用于从湿度中产生饮用水。这些系统的关键部件包括冷凝器、储罐和消毒控制技术，以解决微生物水污染。系统可以包括过滤以减少化学和颗粒水污染。适当的设计应包括考虑大气水发生器的能量效率。值得一提的是，该标准草案在技术上与ASSE 1090：2020相同。</w:t>
            </w:r>
          </w:p>
        </w:tc>
      </w:tr>
      <w:tr>
        <w:trPr>
          <w:trHeight w:val="528"/>
        </w:trPr>
        <w:tc>
          <w:tcPr>
            <w:tcW w:w="1383" w:type="dxa"/>
            <w:tcBorders>
              <w:tl2br w:val="nil"/>
              <w:tr2bl w:val="nil"/>
            </w:tcBorders>
            <w:vAlign w:val="center"/>
          </w:tcPr>
          <w:p>
            <w:pPr>
              <w:jc w:val="center"/>
              <w:textAlignment w:val="center"/>
            </w:pPr>
            <w:r>
              <w:t>澳大利亚</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131" w:type="dxa"/>
            <w:vAlign w:val="center"/>
          </w:tcPr>
          <w:p>
            <w:pPr>
              <w:jc w:val="left"/>
              <w:rPr>
                <w:rFonts w:ascii="宋体" w:cs="宋体" w:hint="eastAsia"/>
                <w:sz w:val="22"/>
              </w:rPr>
            </w:pPr>
            <w:r>
              <w:rPr>
                <w:rFonts w:ascii="宋体" w:cs="宋体" w:hint="eastAsia"/>
                <w:sz w:val="22"/>
              </w:rPr>
              <w:t>第1361号决议草案，2025年12月11日。该决议草案提出了一项国家立法，涉及卫生监管机构执行的准则和标准。</w:t>
            </w:r>
          </w:p>
        </w:tc>
      </w:tr>
      <w:tr>
        <w:trPr>
          <w:trHeight w:val="1633"/>
        </w:trPr>
        <w:tc>
          <w:tcPr>
            <w:tcW w:w="1383" w:type="dxa"/>
            <w:tcBorders>
              <w:tl2br w:val="nil"/>
              <w:tr2bl w:val="nil"/>
            </w:tcBorders>
            <w:vAlign w:val="center"/>
          </w:tcPr>
          <w:p>
            <w:pPr>
              <w:jc w:val="center"/>
              <w:textAlignment w:val="center"/>
            </w:pPr>
            <w:r>
              <w:t>布隆迪</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131" w:type="dxa"/>
            <w:vAlign w:val="center"/>
          </w:tcPr>
          <w:p>
            <w:pPr>
              <w:jc w:val="left"/>
              <w:rPr>
                <w:rFonts w:ascii="宋体" w:cs="宋体" w:hint="eastAsia"/>
                <w:sz w:val="22"/>
              </w:rPr>
            </w:pPr>
            <w:r>
              <w:rPr>
                <w:rFonts w:ascii="宋体" w:cs="宋体" w:hint="eastAsia"/>
                <w:sz w:val="22"/>
              </w:rPr>
              <w:t>DEAS 1310：202，健康声明的科学证实指南，第一版。这些指南为评估健康索赔提供了基础，以证实健康索赔。它适用于EAS 805中规定的健康索赔。这些指南涵盖了健康声明的类型、证实健康声明的标准和程序、证据的考虑、具体的安全问题、投诉、对食品经营者的反馈、健康声明的沟通和重新评估。这些指南包括在评估拟议的健康声明时考虑安全性，但并非旨在全面评估食品的安全性和质量，相关规定由其他区域标准和指南或现有国家立法的一般规则规定。本指南应与政府应用的食品安全风险分析工作原则一起阅读。本指南不适用于面向36个月及以下人群的食品及其健康声明。</w:t>
            </w:r>
          </w:p>
        </w:tc>
      </w:tr>
      <w:tr>
        <w:trPr>
          <w:trHeight w:val="691"/>
        </w:trPr>
        <w:tc>
          <w:tcPr>
            <w:tcW w:w="1383" w:type="dxa"/>
            <w:tcBorders>
              <w:tl2br w:val="nil"/>
              <w:tr2bl w:val="nil"/>
            </w:tcBorders>
            <w:vAlign w:val="center"/>
          </w:tcPr>
          <w:p>
            <w:pPr>
              <w:pStyle w:val="35"/>
              <w:jc w:val="center"/>
            </w:pPr>
            <w:r>
              <w:t>德国</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131" w:type="dxa"/>
            <w:vAlign w:val="center"/>
          </w:tcPr>
          <w:p>
            <w:pPr>
              <w:jc w:val="left"/>
              <w:rPr>
                <w:rFonts w:ascii="宋体" w:cs="宋体" w:hint="eastAsia"/>
                <w:sz w:val="22"/>
              </w:rPr>
            </w:pPr>
            <w:r>
              <w:rPr>
                <w:rFonts w:ascii="宋体" w:cs="宋体" w:hint="eastAsia"/>
                <w:sz w:val="22"/>
              </w:rPr>
              <w:t>关于制定温室气体减排配额的第二部法律。国家温室气体减排配额（GHG配额）将继续，并为此采取以下措施：燃料温室气体排放的强制性百分比削减将持续到2040年，并将逐步增加到59%。根据RED III计算方法，这相当于可再生能源在总能源消耗中的份额为62%。将在GHG配额的适用范围内引入非生物来源的可再生燃料的一般配额。先进生物燃料的配额（来自指令（欧盟）2018/2001附件九A部分所列原材料）将增加，先进生物燃料的重复计算将被取消。只有在主管当局根据实施条例（欧盟）2022/996第17条第1款进行现场检查的情况下，可再生燃料才有资格获得GHG配额。将停止将棕榈油生产残渣中的生物燃料计入GHG配额。对《联邦排放控制法》(BImSchG)的进一步修订旨在实施法规(EU)2023/2405（ReFuelEU Aviation）。特别是，具体说明了负责在德国执行该法规的当局。此外，BImSchG还规定了对违反法规(EU)2023/2405的制裁。生物燃料可持续性法规的范围扩大到包括航空用生物燃料，第37号联邦排放控制条例的范围扩大到包括航空用合成航空燃料和可再生氢。有必要对第37号BImSchV进行进一步调整，以采用实施法规（EU）2022/996关于认证机构认可要求的修订条款。</w:t>
            </w:r>
          </w:p>
        </w:tc>
      </w:tr>
      <w:tr>
        <w:trPr>
          <w:trHeight w:val="773"/>
        </w:trPr>
        <w:tc>
          <w:tcPr>
            <w:tcW w:w="1383" w:type="dxa"/>
            <w:vMerge w:val="restart"/>
            <w:tcBorders>
              <w:tl2br w:val="nil"/>
              <w:tr2bl w:val="nil"/>
            </w:tcBorders>
            <w:vAlign w:val="center"/>
          </w:tcPr>
          <w:p>
            <w:pPr>
              <w:pStyle w:val="106"/>
              <w:jc w:val="center"/>
            </w:pPr>
            <w:r>
              <w:t>俄罗斯</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131" w:type="dxa"/>
            <w:vAlign w:val="center"/>
          </w:tcPr>
          <w:p>
            <w:pPr>
              <w:jc w:val="left"/>
              <w:rPr>
                <w:rFonts w:ascii="宋体" w:cs="宋体" w:hint="eastAsia"/>
                <w:sz w:val="22"/>
              </w:rPr>
            </w:pPr>
            <w:r>
              <w:rPr>
                <w:rFonts w:ascii="宋体" w:cs="宋体" w:hint="eastAsia"/>
                <w:sz w:val="22"/>
              </w:rPr>
              <w:t>关税同盟爆炸物及其产品安全技术条例第1号修正案草案（TR CU 028/2012）。澄清技术条例中关于建立评估爆炸物和产品安全所需指标清单的某些规定，以根据其应用结果确认是否符合技术条例的要求。</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131" w:type="dxa"/>
            <w:vAlign w:val="center"/>
          </w:tcPr>
          <w:p>
            <w:pPr>
              <w:jc w:val="left"/>
              <w:rPr>
                <w:rFonts w:ascii="宋体" w:cs="宋体" w:hint="eastAsia"/>
                <w:sz w:val="22"/>
              </w:rPr>
            </w:pPr>
            <w:r>
              <w:rPr>
                <w:rFonts w:ascii="宋体" w:cs="宋体" w:hint="eastAsia"/>
                <w:sz w:val="22"/>
              </w:rPr>
              <w:t>欧亚经济委员会委员会关于对受卫生流行病学监督（控制）的产品的共同卫生流行病学和卫生要求第二章第3节进行修正的决定草案。该草案规定更新受卫生流行病学监督（控制）的产品的共同卫生流行病学和卫生要求第二章第3节，该节规定了水处理和水净化的材料、试剂、设备的要求。</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131" w:type="dxa"/>
            <w:vAlign w:val="center"/>
          </w:tcPr>
          <w:p>
            <w:pPr>
              <w:jc w:val="left"/>
              <w:rPr>
                <w:rFonts w:ascii="宋体" w:cs="宋体" w:hint="eastAsia"/>
                <w:sz w:val="22"/>
              </w:rPr>
            </w:pPr>
            <w:r>
              <w:rPr>
                <w:rFonts w:ascii="宋体" w:cs="宋体" w:hint="eastAsia"/>
                <w:sz w:val="22"/>
              </w:rPr>
              <w:t>欧亚经济委员会委员会关于对受卫生流行病学监督（控制）的产品的共同卫生流行病学和卫生要求第二章第12节修正案的决定草案。该草案规定对关税同盟委员会2010年5月28日第299号决定批准的《受卫生流行病学监督（控制）的产品的共同卫生流行病学和卫生要求》第二章第12节进行修订，内容涉及更新个人卫生产品的要求。</w:t>
            </w:r>
          </w:p>
        </w:tc>
      </w:tr>
      <w:tr>
        <w:trPr>
          <w:trHeight w:val="168"/>
        </w:trPr>
        <w:tc>
          <w:tcPr>
            <w:tcW w:w="1383" w:type="dxa"/>
            <w:vMerge w:val="restart"/>
            <w:tcBorders>
              <w:tl2br w:val="nil"/>
              <w:tr2bl w:val="nil"/>
            </w:tcBorders>
            <w:vAlign w:val="center"/>
          </w:tcPr>
          <w:p>
            <w:pPr>
              <w:pStyle w:val="108"/>
              <w:jc w:val="center"/>
            </w:pPr>
            <w:r>
              <w:t>格鲁吉亚</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131" w:type="dxa"/>
            <w:vAlign w:val="center"/>
          </w:tcPr>
          <w:p>
            <w:pPr>
              <w:jc w:val="left"/>
              <w:rPr>
                <w:rFonts w:ascii="宋体" w:cs="宋体" w:hint="eastAsia"/>
                <w:sz w:val="22"/>
              </w:rPr>
            </w:pPr>
            <w:r>
              <w:rPr>
                <w:rFonts w:ascii="宋体" w:cs="宋体" w:hint="eastAsia"/>
                <w:sz w:val="22"/>
              </w:rPr>
              <w:t>欧洲规范9“铝结构设计”的国家附件。欧洲规范9的国家草案，包括其相关部分和各自的国家附件，被提议作为铝结构设计的国家标准。</w:t>
            </w:r>
          </w:p>
        </w:tc>
      </w:tr>
      <w:tr>
        <w:trPr>
          <w:trHeight w:val="524"/>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131" w:type="dxa"/>
            <w:vAlign w:val="center"/>
          </w:tcPr>
          <w:p>
            <w:pPr>
              <w:jc w:val="left"/>
              <w:rPr>
                <w:rFonts w:ascii="宋体" w:cs="宋体" w:hint="eastAsia"/>
                <w:sz w:val="22"/>
              </w:rPr>
            </w:pPr>
            <w:r>
              <w:rPr>
                <w:rFonts w:ascii="宋体" w:cs="宋体" w:hint="eastAsia"/>
                <w:sz w:val="22"/>
              </w:rPr>
              <w:t>欧洲规范2“混凝土结构设计”的国家附件。欧洲规范2的国家草案，包括其相关部分和各自的国家附件，被提议作为混凝土结构设计的国家标准。</w:t>
            </w:r>
          </w:p>
        </w:tc>
      </w:tr>
      <w:tr>
        <w:trPr>
          <w:trHeight w:val="53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131" w:type="dxa"/>
            <w:vAlign w:val="center"/>
          </w:tcPr>
          <w:p>
            <w:pPr>
              <w:jc w:val="left"/>
              <w:rPr>
                <w:rFonts w:ascii="宋体" w:cs="宋体" w:hint="eastAsia"/>
                <w:sz w:val="22"/>
              </w:rPr>
            </w:pPr>
            <w:r>
              <w:rPr>
                <w:rFonts w:ascii="宋体" w:cs="宋体" w:hint="eastAsia"/>
                <w:sz w:val="22"/>
              </w:rPr>
              <w:t>GES 28-罐装“Adjika”。技术条件（草案）该标准草案规定了由红辣椒、盐、大蒜、芫荽籽、茴香、各种香料和醋或醋酸制成的罐装“Adjika”的要求。产品应包装并密封在玻璃罐、聚合物容器或聚乙烯内衬木桶中。</w:t>
            </w:r>
          </w:p>
        </w:tc>
      </w:tr>
      <w:tr>
        <w:trPr>
          <w:trHeight w:val="608"/>
        </w:trPr>
        <w:tc>
          <w:tcPr>
            <w:tcW w:w="1383" w:type="dxa"/>
            <w:tcBorders>
              <w:tl2br w:val="nil"/>
              <w:tr2bl w:val="nil"/>
            </w:tcBorders>
            <w:vAlign w:val="center"/>
          </w:tcPr>
          <w:p>
            <w:pPr>
              <w:pStyle w:val="105"/>
              <w:jc w:val="center"/>
            </w:pPr>
            <w:r>
              <w:t>圭亚那</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131" w:type="dxa"/>
            <w:vAlign w:val="center"/>
          </w:tcPr>
          <w:p>
            <w:pPr>
              <w:jc w:val="left"/>
              <w:rPr>
                <w:rFonts w:ascii="宋体" w:cs="宋体" w:hint="eastAsia"/>
                <w:sz w:val="22"/>
              </w:rPr>
            </w:pPr>
            <w:r>
              <w:rPr>
                <w:rFonts w:ascii="宋体" w:cs="宋体" w:hint="eastAsia"/>
                <w:sz w:val="22"/>
              </w:rPr>
              <w:t>商品标签规范第10部分：含有制冷剂的设备、物品和零件的标签。本标准规定了所有类型含有制冷剂设备、物品和部件的标签要求。它还包括用于运输和储存被认为是制冷剂的气体的容器或容器。</w:t>
            </w:r>
          </w:p>
        </w:tc>
      </w:tr>
      <w:tr>
        <w:trPr>
          <w:trHeight w:val="1237"/>
        </w:trPr>
        <w:tc>
          <w:tcPr>
            <w:tcW w:w="1383" w:type="dxa"/>
            <w:vMerge w:val="restart"/>
            <w:tcBorders>
              <w:tl2br w:val="nil"/>
              <w:tr2bl w:val="nil"/>
            </w:tcBorders>
            <w:vAlign w:val="center"/>
          </w:tcPr>
          <w:p>
            <w:pPr>
              <w:pStyle w:val="163"/>
              <w:jc w:val="center"/>
            </w:pPr>
            <w:r>
              <w:t>韩国</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131" w:type="dxa"/>
            <w:vAlign w:val="center"/>
          </w:tcPr>
          <w:p>
            <w:pPr>
              <w:jc w:val="left"/>
              <w:rPr>
                <w:rFonts w:ascii="宋体" w:cs="宋体" w:hint="eastAsia"/>
                <w:sz w:val="22"/>
              </w:rPr>
            </w:pPr>
            <w:r>
              <w:rPr>
                <w:rFonts w:ascii="宋体" w:cs="宋体" w:hint="eastAsia"/>
                <w:sz w:val="22"/>
              </w:rPr>
              <w:t>“清洁卫生用品管制法施行细则”修正提案。食品药品安全部提议修改“清洁卫生用品管制法实施细则”如下：将可能被认为具有预防或治疗疾病的功效或作用的标签和广告纳入虚假、夸大或诽谤性标签和广告的范围b。将声明医疗专业人员（如医生、牙医或药剂师）或任何其他人已证明、保证或推荐该清洁和卫生产品的标签和广告添加到虚假、夸大或诽谤性标签和广告的范围内。</w:t>
            </w:r>
          </w:p>
        </w:tc>
      </w:tr>
      <w:tr>
        <w:trPr>
          <w:trHeight w:val="856"/>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131" w:type="dxa"/>
            <w:vAlign w:val="center"/>
          </w:tcPr>
          <w:p>
            <w:pPr>
              <w:jc w:val="left"/>
              <w:rPr>
                <w:rFonts w:ascii="宋体" w:cs="宋体" w:hint="eastAsia"/>
                <w:sz w:val="22"/>
              </w:rPr>
            </w:pPr>
            <w:r>
              <w:rPr>
                <w:rFonts w:ascii="宋体" w:cs="宋体" w:hint="eastAsia"/>
                <w:sz w:val="22"/>
              </w:rPr>
              <w:t>提议修订《韩国药典》。韩国食品药品安全部拟对《韩国药典》以下条款进行修订：为应对国际监管环境的变化，《韩国药典》（KP）将从第12版全面修订至第13版。此次修订旨在通过重组KP和协调国际药品标准和规范，确保有质量保证的药品的分销并确保在全球市场上的竞争优势。</w:t>
            </w:r>
          </w:p>
        </w:tc>
      </w:tr>
      <w:tr>
        <w:trPr>
          <w:trHeight w:val="64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131" w:type="dxa"/>
            <w:vAlign w:val="center"/>
          </w:tcPr>
          <w:p>
            <w:pPr>
              <w:jc w:val="left"/>
              <w:rPr>
                <w:rFonts w:ascii="宋体" w:cs="宋体" w:hint="eastAsia"/>
                <w:sz w:val="22"/>
              </w:rPr>
            </w:pPr>
            <w:r>
              <w:rPr>
                <w:rFonts w:ascii="宋体" w:cs="宋体" w:hint="eastAsia"/>
                <w:sz w:val="22"/>
              </w:rPr>
              <w:t>《制造机动车辆试验检验及相关程序条例实施细则》部分修正案草案。 根据即将出台的标准引入新的废气排放测试方法；根据即将出台的标准引入废气排放车载诊断系统故障标准。</w:t>
            </w:r>
          </w:p>
        </w:tc>
      </w:tr>
      <w:tr>
        <w:trPr>
          <w:trHeight w:val="978"/>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131" w:type="dxa"/>
            <w:vAlign w:val="center"/>
          </w:tcPr>
          <w:p>
            <w:pPr>
              <w:jc w:val="left"/>
              <w:rPr>
                <w:rFonts w:ascii="宋体" w:cs="宋体" w:hint="eastAsia"/>
                <w:sz w:val="22"/>
              </w:rPr>
            </w:pPr>
            <w:r>
              <w:rPr>
                <w:rFonts w:ascii="宋体" w:cs="宋体" w:hint="eastAsia"/>
                <w:sz w:val="22"/>
              </w:rPr>
              <w:t>建议修订《医疗器械分组及分类管理办法》。食品药品安全部正在对“医疗器械分组和分类管理规定”进行如下修改：新项目的建立——建立五个新的医疗器械项目以对临时指定项目进行分类；医疗器械类别的调整——考虑到国际协调和与其他医疗器械的公平性，对一个项目进行了重新分类。项目定义的修改——对五个医疗器械项目的定义进行了修改。</w:t>
            </w:r>
          </w:p>
        </w:tc>
      </w:tr>
      <w:tr>
        <w:trPr>
          <w:trHeight w:val="1861"/>
        </w:trPr>
        <w:tc>
          <w:tcPr>
            <w:tcW w:w="1383" w:type="dxa"/>
            <w:vMerge w:val="restart"/>
            <w:tcBorders>
              <w:tl2br w:val="nil"/>
              <w:tr2bl w:val="nil"/>
            </w:tcBorders>
            <w:vAlign w:val="center"/>
          </w:tcPr>
          <w:p>
            <w:pPr>
              <w:pStyle w:val="164"/>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吉尔吉斯斯坦</w:t>
            </w:r>
          </w:p>
        </w:tc>
        <w:tc>
          <w:tcPr>
            <w:tcW w:w="659" w:type="dxa"/>
            <w:tcBorders>
              <w:top w:val="single" w:sz="4" w:space="0" w:color="000000"/>
              <w:left w:val="single" w:sz="4" w:space="0" w:color="000000"/>
              <w:right w:val="single" w:sz="4" w:space="0" w:color="000000"/>
            </w:tcBorders>
            <w:vAlign w:val="center"/>
          </w:tcPr>
          <w:p>
            <w:pPr>
              <w:pStyle w:val="109"/>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131" w:type="dxa"/>
            <w:vAlign w:val="center"/>
          </w:tcPr>
          <w:p>
            <w:pPr>
              <w:jc w:val="left"/>
              <w:rPr>
                <w:rFonts w:ascii="宋体" w:cs="宋体" w:hint="eastAsia"/>
                <w:sz w:val="22"/>
              </w:rPr>
            </w:pPr>
            <w:r>
              <w:rPr>
                <w:rFonts w:ascii="宋体" w:cs="宋体" w:hint="eastAsia"/>
                <w:sz w:val="22"/>
              </w:rPr>
              <w:t>欧亚经济联盟“关于包括天然矿泉水在内的包装饮用水的安全”技术法规第2号修正案草案（TR EAEU 044/2017）。内容描述：TR EAEU 044/2017第2号修正案草案：介绍了天然矿泉水、天然和处理过的饮用水的标签，以及在包装饮用水的声明或国家注册期间确认标签合规性的多项要求，旨在保护消费者免受有关饮用水来源、安全性和特性的不完整或不可靠信息的影响；根据多年使用矿泉水的经验、其治疗和预防应用方法、毒理学研究，并考虑到国际、州际和国家标准的要求，修订了天然矿泉水中与地下水有关的氟化物、锰的允许水平，以及与治疗和治疗用地下水有关的辐射安全评估要求；消除了一些编辑和技术上的不一致之处。</w:t>
            </w:r>
          </w:p>
        </w:tc>
      </w:tr>
      <w:tr>
        <w:trPr>
          <w:trHeight w:val="454"/>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10"/>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131" w:type="dxa"/>
            <w:vAlign w:val="center"/>
          </w:tcPr>
          <w:p>
            <w:pPr>
              <w:jc w:val="left"/>
              <w:rPr>
                <w:rFonts w:ascii="宋体" w:cs="宋体" w:hint="eastAsia"/>
                <w:sz w:val="22"/>
              </w:rPr>
            </w:pPr>
            <w:r>
              <w:rPr>
                <w:rFonts w:ascii="宋体" w:cs="宋体" w:hint="eastAsia"/>
                <w:sz w:val="22"/>
              </w:rPr>
              <w:t>关税同盟“香水和化妆品安全”技术法规修正案（TR TC 009/2011）。更新关税同盟“关于香水和化妆品安全”技术法规附件1-5（TR TC 009/2011）。</w:t>
            </w:r>
          </w:p>
        </w:tc>
      </w:tr>
      <w:tr>
        <w:trPr>
          <w:trHeight w:val="253"/>
        </w:trPr>
        <w:tc>
          <w:tcPr>
            <w:tcW w:w="1383" w:type="dxa"/>
            <w:vMerge w:val="restart"/>
            <w:tcBorders>
              <w:tl2br w:val="nil"/>
              <w:tr2bl w:val="nil"/>
            </w:tcBorders>
            <w:vAlign w:val="center"/>
          </w:tcPr>
          <w:p>
            <w:pPr>
              <w:pStyle w:val="165"/>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加拿大</w:t>
            </w:r>
          </w:p>
        </w:tc>
        <w:tc>
          <w:tcPr>
            <w:tcW w:w="659" w:type="dxa"/>
            <w:tcBorders>
              <w:top w:val="single" w:sz="4" w:space="0" w:color="000000"/>
              <w:left w:val="single" w:sz="4" w:space="0" w:color="000000"/>
              <w:right w:val="single" w:sz="4" w:space="0" w:color="000000"/>
            </w:tcBorders>
            <w:vAlign w:val="center"/>
          </w:tcPr>
          <w:p>
            <w:pPr>
              <w:pStyle w:val="111"/>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131" w:type="dxa"/>
            <w:vAlign w:val="center"/>
          </w:tcPr>
          <w:p>
            <w:pPr>
              <w:jc w:val="left"/>
              <w:rPr>
                <w:rFonts w:ascii="宋体" w:cs="宋体" w:hint="eastAsia"/>
                <w:sz w:val="22"/>
              </w:rPr>
            </w:pPr>
            <w:r>
              <w:rPr>
                <w:rFonts w:ascii="宋体" w:cs="宋体" w:hint="eastAsia"/>
                <w:sz w:val="22"/>
              </w:rPr>
              <w:t>规定依赖外国监管机构关于某些药物的决定或文件的命令。加拿大政府打算颁布该命令，规定依赖外国监管机构关于某些药物的决定或文件（该命令）。根据某些外国监管机构(FRA)的决定或文件，该命令将认为部长审查新药提交中的特定信息和材料的要求已经得到满足。为了确保该命令不会对健康、安全或环境（如适用）带来不可接受的风险或不确定性，它将规定需要满足的要求，包括药物属于通过引用纳入的列表（IbR列表）中确定的药物类别，制造商证明该药物已获得与该类别相关的IbR列表中的FRA授权，并且与制造商寻求认为与FRA授权的药物相比的提交部分相关的药物的任何差异不会对其安全性或有效性产生负面影响。部长将审查提交材料中与这些差异相关的信息以及提交材料中加拿大市场特有的其他方面（如标签）。如果部长认为这些差异可能对药物的安全性和有效性产生潜在的负面影响，则不会将推定用于提交材料的该部分，并将进行全面检查。加拿大卫生部在审查新药申请时，利用《食品和药品法》和《食品和药品条例》规定的现有权限考虑从其他监管机构获得的信息或其他材料。为了进一步支持和增加该部对FRA的依赖，该命令将在满足该命令的要求的情况下，在以下三种情况下，根据FRA的决定或文件，认为部长的部分审查已经完成：FRA已经就外国药物做出决定的药物申请（一般推定），FRA尚未就批准外国药物做出决定的药物申请，前提是这些申请在向FRA提交后120天内在加拿大提交（120天备案），提交的药物须接受加拿大卫生部与一个或多个FRA的联合审查（联合审查）。</w:t>
            </w:r>
          </w:p>
        </w:tc>
      </w:tr>
      <w:tr>
        <w:trPr>
          <w:trHeight w:val="175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12"/>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131" w:type="dxa"/>
            <w:vAlign w:val="center"/>
          </w:tcPr>
          <w:p>
            <w:pPr>
              <w:jc w:val="left"/>
              <w:rPr>
                <w:rFonts w:ascii="宋体" w:cs="宋体" w:hint="eastAsia"/>
                <w:sz w:val="22"/>
              </w:rPr>
            </w:pPr>
            <w:r>
              <w:rPr>
                <w:rFonts w:ascii="宋体" w:cs="宋体" w:hint="eastAsia"/>
                <w:sz w:val="22"/>
              </w:rPr>
              <w:t>临床试验条例。和修订与临床试验有关的某些条例的条例。拟议的法规将根据《食品和药物法》为涉及人用药物的临床试验建立一个新的独立监管框架。该拟议框架将取代《食品药品条例》（FDR）C部分第5部分中现有的药物临床试验监管方案以及《新冠肺炎条例》（新冠肺炎CT条例）相关医疗器械和药物临床试验第2部分。它将规范临床试验的进行以及这些试验中使用的药物的进口和销售。具体而言，它将规定进口和销售用于临床试验的药物的要求，以及签发试验授权的申请程序和监督机制。它还将规定良好临床实践、报告和其他与临床试验相关的活动的要求。</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13"/>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131" w:type="dxa"/>
            <w:vAlign w:val="center"/>
          </w:tcPr>
          <w:p>
            <w:pPr>
              <w:jc w:val="left"/>
              <w:rPr>
                <w:rFonts w:ascii="宋体" w:cs="宋体" w:hint="eastAsia"/>
                <w:sz w:val="22"/>
              </w:rPr>
            </w:pPr>
            <w:r>
              <w:rPr>
                <w:rFonts w:ascii="宋体" w:cs="宋体" w:hint="eastAsia"/>
                <w:sz w:val="22"/>
              </w:rPr>
              <w:t>关于SRSP-321的咨询。 加拿大创新、科学和经济发展部特此通知修订了以下标准：SRSP-321.2，第1期，工作在21.2-23.6 GHz频段的固定视线无线电系统的技术要求。</w:t>
            </w:r>
          </w:p>
        </w:tc>
      </w:tr>
      <w:tr>
        <w:trPr>
          <w:trHeight w:val="301"/>
        </w:trPr>
        <w:tc>
          <w:tcPr>
            <w:tcW w:w="1383" w:type="dxa"/>
            <w:tcBorders>
              <w:tl2br w:val="nil"/>
              <w:tr2bl w:val="nil"/>
            </w:tcBorders>
            <w:vAlign w:val="center"/>
          </w:tcPr>
          <w:p>
            <w:pPr>
              <w:jc w:val="center"/>
            </w:pPr>
            <w:r>
              <w:t>肯尼亚</w:t>
            </w:r>
          </w:p>
        </w:tc>
        <w:tc>
          <w:tcPr>
            <w:tcW w:w="659" w:type="dxa"/>
            <w:tcBorders>
              <w:top w:val="single" w:sz="4" w:space="0" w:color="000000"/>
              <w:left w:val="single" w:sz="4" w:space="0" w:color="000000"/>
              <w:right w:val="single" w:sz="4" w:space="0" w:color="000000"/>
            </w:tcBorders>
            <w:vAlign w:val="center"/>
          </w:tcPr>
          <w:p>
            <w:pPr>
              <w:pStyle w:val="114"/>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131" w:type="dxa"/>
            <w:vAlign w:val="center"/>
          </w:tcPr>
          <w:p>
            <w:pPr>
              <w:jc w:val="left"/>
              <w:rPr>
                <w:rFonts w:ascii="宋体" w:cs="宋体" w:hint="eastAsia"/>
                <w:sz w:val="22"/>
              </w:rPr>
            </w:pPr>
            <w:r>
              <w:rPr>
                <w:rFonts w:ascii="宋体" w:cs="宋体" w:hint="eastAsia"/>
                <w:sz w:val="22"/>
              </w:rPr>
              <w:t>2025年《标准（实验室测试和指定）条例》。本条例适用于该局对实验室的指定；该局及其指定实验室根据该法提供的测试服务是指肯尼亚法律第496章《标准法》。</w:t>
            </w:r>
          </w:p>
        </w:tc>
      </w:tr>
      <w:tr>
        <w:trPr>
          <w:trHeight w:val="925"/>
        </w:trPr>
        <w:tc>
          <w:tcPr>
            <w:tcW w:w="1383" w:type="dxa"/>
            <w:vMerge w:val="restart"/>
            <w:vAlign w:val="center"/>
          </w:tcPr>
          <w:p>
            <w:pPr>
              <w:pStyle w:val="93"/>
              <w:jc w:val="center"/>
            </w:pPr>
            <w:r>
              <w:t>墨西哥</w:t>
            </w:r>
          </w:p>
        </w:tc>
        <w:tc>
          <w:tcPr>
            <w:tcW w:w="659" w:type="dxa"/>
            <w:tcBorders>
              <w:top w:val="single" w:sz="4" w:space="0" w:color="000000"/>
              <w:left w:val="single" w:sz="4" w:space="0" w:color="000000"/>
              <w:right w:val="single" w:sz="4" w:space="0" w:color="000000"/>
            </w:tcBorders>
            <w:vAlign w:val="center"/>
          </w:tcPr>
          <w:p>
            <w:pPr>
              <w:pStyle w:val="115"/>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131" w:type="dxa"/>
            <w:vAlign w:val="center"/>
          </w:tcPr>
          <w:p>
            <w:pPr>
              <w:jc w:val="left"/>
              <w:rPr>
                <w:rFonts w:ascii="宋体" w:cs="宋体" w:hint="eastAsia"/>
                <w:sz w:val="22"/>
              </w:rPr>
            </w:pPr>
            <w:r>
              <w:rPr>
                <w:rFonts w:ascii="宋体" w:cs="宋体" w:hint="eastAsia"/>
                <w:sz w:val="22"/>
              </w:rPr>
              <w:t>墨西哥官方标准草案PROY-NOM-025-ASEA-2025，机场飞机加油机的分配。墨西哥官方标准草案规定了在机场供应车辆和设施的设计、开始运营、建造、运营、维护和终止运营时必须满足的工业安全、运营安全和环境保护方面的技术规范和要求，适用于整个国家领土和国家行使主权和管辖权的地区，对于在机场开展飞机加油机分销活动的受监管人员来说，这是普遍和强制性的。该项目考虑以下几个方面：根据项目开发阶段（设计、开始运营、施工、预启动、运营和维护以及运营终止）进行结构化；为飞机供应油轮的供应车辆和设施；为具有供应车辆和设施的飞机供应油轮的操作程序，以及供应油轮的装载和储存；操作手册和年度审查和维护计划的活动。从这个意义上说，受监管人员将通过获得油轮分配活动的开始运营、设计、建造、运营和维护以及报告或运营终止意见来证明符合本墨西哥官方标准草案ra飞机在机场，确保此类活动安全进行。</w:t>
            </w:r>
          </w:p>
        </w:tc>
      </w:tr>
      <w:tr>
        <w:trPr>
          <w:trHeight w:val="480"/>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pStyle w:val="116"/>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131" w:type="dxa"/>
            <w:vAlign w:val="center"/>
          </w:tcPr>
          <w:p>
            <w:pPr>
              <w:jc w:val="left"/>
              <w:rPr>
                <w:rFonts w:ascii="宋体" w:cs="宋体" w:hint="eastAsia"/>
                <w:sz w:val="22"/>
              </w:rPr>
            </w:pPr>
            <w:r>
              <w:rPr>
                <w:rFonts w:ascii="宋体" w:cs="宋体" w:hint="eastAsia"/>
                <w:sz w:val="22"/>
              </w:rPr>
              <w:t>墨西哥官方标准草案PROY-NOM-023-ASEA-2025，向公众销售机动车辆汽油或柴油的特定用途加油站。墨西哥官方标准草案规定了工业安全、运营安全和环境保护方面的技术规范和要求，必须应用于设计、施工、运营和维护阶段以及安全审查。面向公众销售机动车辆汽油或柴油的特定目的加油站的启动，将适用于整个国家领土和国家行使主权和管辖权的地区，对所有进行设计、施工、运营和维护阶段以及面向公众销售汽油或柴油的特定目的加油站的启动前安全审查，具有普遍和强制性。该项目考虑了以下方面：按学科划分的设计和施工阶段的要求：民用、mecb更新双壁储罐的制造材料；整合包含土木、机械、电气和安全系统学科的计划和技术描述性报告的项目手册；情景和风险相互作用碳氢化合物行业风险分析中要评估的风险；整合每个储罐和管道的机械完整性文件的要求；执行启动前安全审查的要求；现场准备和施工的环境保护规范；必须包括加油站操作和维护程序的安全措施；评估储罐机械完整性并在其证书中规定的期限结束时确定操作连续性的要求制造过程；通过现场改造加固或建造双壁储罐的要求；证明加油站主管工作能力的要求。按阶段详细的合格评定程序，以获得设计、施工、运营和维护意见。进入运营和维护阶段意见机构的要求。</w:t>
            </w:r>
          </w:p>
        </w:tc>
      </w:tr>
      <w:tr>
        <w:trPr>
          <w:trHeight w:val="613"/>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pStyle w:val="117"/>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131" w:type="dxa"/>
            <w:vAlign w:val="center"/>
          </w:tcPr>
          <w:p>
            <w:pPr>
              <w:jc w:val="left"/>
              <w:rPr>
                <w:rFonts w:ascii="宋体" w:cs="宋体" w:hint="eastAsia"/>
                <w:sz w:val="22"/>
              </w:rPr>
            </w:pPr>
            <w:r>
              <w:rPr>
                <w:rFonts w:ascii="宋体" w:cs="宋体" w:hint="eastAsia"/>
                <w:sz w:val="22"/>
              </w:rPr>
              <w:t>墨西哥官方标准草案PROY-NOM-024-ASEA-2025，与碳氢化合物勘探和提取相关的采出水和/或回流液的管理工业安全、操作安全和环境保护规范。墨西哥官方标准草案规定了管理与勘探和开采相关的采出水和/或回流液必须遵守的工业安全、操作安全和环境保护方面的技术规范和标准。碳氢化合物，将适用于整个国家领土和国家行使主权和管辖权的地区，对于在碳氢化合物勘探和开采活动中产生的采出水和/或回流液管理的受监管人员来说，这是普遍和强制性的。该项目考虑了以下方面：采出水和/或回流液管理的先前要求和规范；储存安全要求；储罐位置和选择的考虑因素；纳入储罐的检查和监测计划和处理系统；处理系统的设计、选择和安装要求；通过管道、罐车或罐车进行运输和动员的考虑因素；每个系统和附件的维护、检查和操作程序；回流液处理产生的废水的管理、再利用和排放指南；获得年度合规意见的详细合格评定程序。</w:t>
            </w:r>
          </w:p>
        </w:tc>
      </w:tr>
      <w:tr>
        <w:trPr>
          <w:trHeight w:val="613"/>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pStyle w:val="118"/>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131" w:type="dxa"/>
            <w:vAlign w:val="center"/>
          </w:tcPr>
          <w:p>
            <w:pPr>
              <w:jc w:val="left"/>
              <w:rPr>
                <w:rFonts w:ascii="宋体" w:cs="宋体" w:hint="eastAsia"/>
                <w:sz w:val="22"/>
              </w:rPr>
            </w:pPr>
            <w:r>
              <w:rPr>
                <w:rFonts w:ascii="宋体" w:cs="宋体" w:hint="eastAsia"/>
                <w:sz w:val="22"/>
              </w:rPr>
              <w:t>墨西哥官方标准草案 PROY-NOM-249-SSA1-2025，“无菌混合制剂：营养类和药用类及其配制设施”。该墨西哥官方标准草案规定了无菌混合制剂（营养类和药用类）配制中心在根据医疗处方为患者配制和发放高质量混合制剂时必须满足的最低要求。</w:t>
            </w:r>
          </w:p>
        </w:tc>
      </w:tr>
      <w:tr>
        <w:trPr>
          <w:trHeight w:val="613"/>
        </w:trPr>
        <w:tc>
          <w:tcPr>
            <w:tcW w:w="1383" w:type="dxa"/>
            <w:tcBorders>
              <w:tl2br w:val="nil"/>
              <w:tr2bl w:val="nil"/>
            </w:tcBorders>
            <w:vAlign w:val="center"/>
          </w:tcPr>
          <w:p>
            <w:pPr>
              <w:pStyle w:val="88"/>
              <w:jc w:val="center"/>
            </w:pPr>
            <w:r>
              <w:t>南非</w:t>
            </w:r>
          </w:p>
        </w:tc>
        <w:tc>
          <w:tcPr>
            <w:tcW w:w="659" w:type="dxa"/>
            <w:tcBorders>
              <w:top w:val="single" w:sz="4" w:space="0" w:color="000000"/>
              <w:left w:val="single" w:sz="4" w:space="0" w:color="000000"/>
              <w:right w:val="single" w:sz="4" w:space="0" w:color="000000"/>
            </w:tcBorders>
            <w:vAlign w:val="center"/>
          </w:tcPr>
          <w:p>
            <w:pPr>
              <w:pStyle w:val="119"/>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131" w:type="dxa"/>
            <w:vAlign w:val="center"/>
          </w:tcPr>
          <w:p>
            <w:pPr>
              <w:jc w:val="left"/>
              <w:rPr>
                <w:rFonts w:ascii="宋体" w:cs="宋体" w:hint="eastAsia"/>
                <w:sz w:val="22"/>
              </w:rPr>
            </w:pPr>
            <w:r>
              <w:rPr>
                <w:rFonts w:ascii="宋体" w:cs="宋体" w:hint="eastAsia"/>
                <w:sz w:val="22"/>
              </w:rPr>
              <w:t>与打算在南非共和国销售的油菜籽的分级、包装和标记有关的法规。拟议的条例涵盖了油菜籽分级、包装和标记/标签的最低质量标准，并规定了抽样程序、检查方法、此类产品上市销售时偏差的确定。违规情况下的违法行为和处罚。</w:t>
            </w:r>
          </w:p>
        </w:tc>
      </w:tr>
      <w:tr>
        <w:trPr>
          <w:trHeight w:val="964"/>
        </w:trPr>
        <w:tc>
          <w:tcPr>
            <w:tcW w:w="1383" w:type="dxa"/>
            <w:vMerge w:val="restart"/>
            <w:tcBorders>
              <w:tl2br w:val="nil"/>
              <w:tr2bl w:val="nil"/>
            </w:tcBorders>
            <w:vAlign w:val="center"/>
          </w:tcPr>
          <w:p>
            <w:pPr>
              <w:pStyle w:val="170"/>
              <w:jc w:val="center"/>
            </w:pPr>
            <w:r>
              <w:rPr>
                <w:sz w:val="24"/>
              </w:rPr>
              <w:t>欧盟</w:t>
            </w:r>
          </w:p>
        </w:tc>
        <w:tc>
          <w:tcPr>
            <w:tcW w:w="659" w:type="dxa"/>
            <w:tcBorders>
              <w:top w:val="single" w:sz="4" w:space="0" w:color="000000"/>
              <w:left w:val="single" w:sz="4" w:space="0" w:color="000000"/>
              <w:right w:val="single" w:sz="4" w:space="0" w:color="000000"/>
            </w:tcBorders>
            <w:vAlign w:val="center"/>
          </w:tcPr>
          <w:p>
            <w:pPr>
              <w:pStyle w:val="120"/>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131" w:type="dxa"/>
            <w:vAlign w:val="center"/>
          </w:tcPr>
          <w:p>
            <w:pPr>
              <w:jc w:val="left"/>
              <w:rPr>
                <w:rFonts w:ascii="宋体" w:cs="宋体" w:hint="eastAsia"/>
                <w:sz w:val="22"/>
              </w:rPr>
            </w:pPr>
            <w:r>
              <w:rPr>
                <w:rFonts w:ascii="宋体" w:cs="宋体" w:hint="eastAsia"/>
                <w:sz w:val="22"/>
              </w:rPr>
              <w:t>欧盟委员会关于欧洲议会和理事会修订法规（EU）2017/745和（EU）2017/746的法规提案，该法规涉及简化和减轻医疗器械和体外诊断医疗器械规则的负担，并修订法规（EU）2022/123，涉及欧洲药品管理局对医疗器械专家小组的支持，以及法规（EU）2024/1689，涉及其附件一COM（2025）1023 final中提到的欧盟协调立法清单，2025年12月16日。关于医疗器械的法规 (EU) 2017/745（《医疗器械法规》）和关于体外诊断医疗器械的法规 (EU) 2017/746（《体外诊断医疗器械法规》），为医疗器械和体外诊断医疗器械建立了一个新的监管框架。其目标在于为患者和使用者提供高水平的健康保护，并确保这些产品在内部市场的顺畅运行。此次通报的提案是欧盟委员会在 2024/25 年对欧盟医疗器械监管框架进行专项评估后，立即采取的后续行动。该提案旨在简化和完善监管框架，使其适应未来发展。其主要目标是在保持高水平的公共卫生保护和患者安全的前提下，简化规则、减轻制造商的行政负担，并提高公告机构认证程序的可预测性和成本效益。</w:t>
            </w:r>
          </w:p>
        </w:tc>
      </w:tr>
      <w:tr>
        <w:trPr>
          <w:trHeight w:val="295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21"/>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131" w:type="dxa"/>
            <w:vAlign w:val="center"/>
          </w:tcPr>
          <w:p>
            <w:pPr>
              <w:jc w:val="left"/>
              <w:rPr>
                <w:rFonts w:ascii="宋体" w:cs="宋体" w:hint="eastAsia"/>
                <w:sz w:val="22"/>
              </w:rPr>
            </w:pPr>
            <w:r>
              <w:rPr>
                <w:rFonts w:ascii="宋体" w:cs="宋体" w:hint="eastAsia"/>
                <w:sz w:val="22"/>
              </w:rPr>
              <w:t>修订欧洲议会和理事会关于受限制的致癌物、生殖细胞诱变剂或生殖毒物的第1907/2006号条例的委员会条例草案。 该委员会条例草案旨在将几种物质纳入第1907/2006号条例（EC）附件XVII（“REACH”）第28至30项的范围，其效果是限制它们作为单独的物质、作为其他物质的成分或混合物投放市场或用于向公众供应，并要求在包装上贴上“仅限专业用户使用”的标签。这是由于最近根据欧洲议会和理事会2008年12月16日关于物质和混合物的分类、标签和包装的第1272/2008号法规（EC）将这些物质统一分类为CMR类别1A或1B，经委员会授权法规（EU）2024/2564修订。此外，该委员会条例草案旨在引入可加性规则，以与欧洲实施全球统一制度保持一致。对于CLP特别预见到可加性规则适用于确定混合物分类的那些物质，在限制中，这些单独分类物质的浓度之和也将用于确定是否达到限制中适用的浓度限值。该委员会条例草案还旨在对一氧化二氮作为食品添加剂投放市场和使用。这旨在确保继续合法销售用作食品添加剂的物质，例如用作鲜奶油喷雾罐中的推进剂或业余厨师制作espumas的一氧化二氮小筒中的推进剂，以及食品中存在食品添加剂。</w:t>
            </w:r>
          </w:p>
        </w:tc>
      </w:tr>
      <w:tr>
        <w:trPr>
          <w:trHeight w:val="368"/>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22"/>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131" w:type="dxa"/>
            <w:vAlign w:val="center"/>
          </w:tcPr>
          <w:p>
            <w:pPr>
              <w:jc w:val="left"/>
              <w:rPr>
                <w:rFonts w:ascii="宋体" w:cs="宋体" w:hint="eastAsia"/>
                <w:sz w:val="22"/>
              </w:rPr>
            </w:pPr>
            <w:r>
              <w:rPr>
                <w:rFonts w:ascii="宋体" w:cs="宋体" w:hint="eastAsia"/>
                <w:sz w:val="22"/>
              </w:rPr>
              <w:t>根据欧洲议会和理事会第528/2012号条例（欧盟），废除第2025/362号执行决定（欧盟），推迟批准氯氰菊酯用于产品类型8的生物杀灭产品的到期日的委员会执行决定草案； 该委员会执行决定草案废除了氯氰菊酯用于产品类型(PT)8的生物杀灭产品的批准有效期的推迟。2023年11月24日，根据第528/2012号法规（EU）第13（1）条提交了一份申请，要求延长氯氰菊酯用于PT8杀菌剂产品的批准。2025年5月21日，申请人通知委员会，他们撤回了对氯氰菊酯用于PT8的支持。因此，正在拟订一项决定草案，不延长氯氰菊酯用于PT8的批准。根据该决定，有必要废除PT8氯氰菊酯批准到期日的推迟。因此，本决定草案打算废除第(EU)2025/362号决定，该决定推迟了氯氰菊酯用于PT8的批准到期日期。</w:t>
            </w:r>
          </w:p>
        </w:tc>
      </w:tr>
      <w:tr>
        <w:trPr>
          <w:trHeight w:val="613"/>
        </w:trPr>
        <w:tc>
          <w:tcPr>
            <w:tcW w:w="1383" w:type="dxa"/>
            <w:vMerge w:val="restart"/>
            <w:tcBorders>
              <w:tl2br w:val="nil"/>
              <w:tr2bl w:val="nil"/>
            </w:tcBorders>
            <w:vAlign w:val="center"/>
          </w:tcPr>
          <w:p>
            <w:pPr>
              <w:pStyle w:val="171"/>
              <w:jc w:val="center"/>
              <w:rPr>
                <w:sz w:val="24"/>
              </w:rPr>
            </w:pPr>
            <w:r>
              <w:rPr>
                <w:sz w:val="24"/>
              </w:rPr>
              <w:t>日本</w:t>
            </w:r>
          </w:p>
        </w:tc>
        <w:tc>
          <w:tcPr>
            <w:tcW w:w="659" w:type="dxa"/>
            <w:tcBorders>
              <w:top w:val="single" w:sz="4" w:space="0" w:color="000000"/>
              <w:left w:val="single" w:sz="4" w:space="0" w:color="000000"/>
              <w:right w:val="single" w:sz="4" w:space="0" w:color="000000"/>
            </w:tcBorders>
            <w:vAlign w:val="center"/>
          </w:tcPr>
          <w:p>
            <w:pPr>
              <w:pStyle w:val="123"/>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131" w:type="dxa"/>
            <w:vAlign w:val="center"/>
          </w:tcPr>
          <w:p>
            <w:pPr>
              <w:jc w:val="left"/>
              <w:rPr>
                <w:rFonts w:ascii="宋体" w:cs="宋体" w:hint="eastAsia"/>
                <w:sz w:val="22"/>
              </w:rPr>
            </w:pPr>
            <w:r>
              <w:rPr>
                <w:rFonts w:ascii="宋体" w:cs="宋体" w:hint="eastAsia"/>
                <w:sz w:val="22"/>
              </w:rPr>
              <w:t>部分修订《无线电法执行条例》等。日本将修订《无线电法实施条例》等，为室外使用和指定低功率无线电台建立920兆赫频段空间传输无线功率传输系统的技术标准。</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24"/>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131" w:type="dxa"/>
            <w:vAlign w:val="center"/>
          </w:tcPr>
          <w:p>
            <w:pPr>
              <w:jc w:val="left"/>
              <w:rPr>
                <w:rFonts w:ascii="宋体" w:cs="宋体" w:hint="eastAsia"/>
                <w:sz w:val="22"/>
              </w:rPr>
            </w:pPr>
            <w:r>
              <w:rPr>
                <w:rFonts w:ascii="宋体" w:cs="宋体" w:hint="eastAsia"/>
                <w:sz w:val="22"/>
              </w:rPr>
              <w:t>修订种用公牛（肉牛）和公猪分级标准。现通知拟修订日本用于养殖的公牛（肉牛）和公猪分级标准，分别设定了与品种、能力、体型相关的分级标准，拟修订中仅对进口公牛、公猪不适用的能力标准进行修订。其背景如下：用于繁殖的家养动物的雄性应根据《家畜改良和增产法》从农林水产大臣处获得繁殖证书。在育种证书中，描述了根据品种、能力和体型的等级，等级是根据MAFF公布的标准确定的。公牛（肉牛）和野猪的分级标准将进行修订，以符合2025年4月公布的牲畜改良和生长目标。</w:t>
            </w:r>
          </w:p>
        </w:tc>
      </w:tr>
      <w:tr>
        <w:trPr>
          <w:trHeight w:val="186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25"/>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131" w:type="dxa"/>
            <w:vAlign w:val="center"/>
          </w:tcPr>
          <w:p>
            <w:pPr>
              <w:jc w:val="left"/>
              <w:rPr>
                <w:rFonts w:ascii="宋体" w:cs="宋体" w:hint="eastAsia"/>
                <w:sz w:val="22"/>
              </w:rPr>
            </w:pPr>
            <w:r>
              <w:rPr>
                <w:rFonts w:ascii="宋体" w:cs="宋体" w:hint="eastAsia"/>
                <w:sz w:val="22"/>
              </w:rPr>
              <w:t>根据《食品标签法》和内阁办公室命令，对《食品标签法》第6条第(8)款规定的摄入食品时对安全有重大影响的事项进行部分修订的提案概述。关于速发型食物过敏，树坚果中涉及腰果的案例数量及其在树坚果总案例中的占比均呈上升趋势。鉴于这并非暂时现象，将对《食品标示标准》进行部分修订，将腰果增列为食品标签上的"指定过敏原配料"。凡使用腰果作为配料或含其衍生物添加剂时，均须在食品标签上进行标示。针对特定食品的补充规定将根据实际情况进行审议，重点考量其与通用食品标识规则的协调性及当前社会现状。例如，删除通用食品标识中可被替代的条款，或取消非强制标示要求的品质相关项目。</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26"/>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131" w:type="dxa"/>
            <w:vAlign w:val="center"/>
          </w:tcPr>
          <w:p>
            <w:pPr>
              <w:jc w:val="left"/>
              <w:rPr>
                <w:rFonts w:ascii="宋体" w:cs="宋体" w:hint="eastAsia"/>
                <w:sz w:val="22"/>
              </w:rPr>
            </w:pPr>
            <w:r>
              <w:rPr>
                <w:rFonts w:ascii="宋体" w:cs="宋体" w:hint="eastAsia"/>
                <w:sz w:val="22"/>
              </w:rPr>
              <w:t>根据《确保包括药品和医疗器械在内的产品的质量、功效和安全性法案》（以下简称《法案》），指定Shitei Yakubutsu（指定物质）（1960年，第145号法律）。关于将3种物质额外指定为Shitei Yakubutsu及其在该法下的适当用途的提案。</w:t>
            </w:r>
          </w:p>
        </w:tc>
      </w:tr>
      <w:tr>
        <w:trPr>
          <w:trHeight w:val="123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27"/>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131" w:type="dxa"/>
            <w:vAlign w:val="center"/>
          </w:tcPr>
          <w:p>
            <w:pPr>
              <w:jc w:val="left"/>
              <w:rPr>
                <w:rFonts w:ascii="宋体" w:cs="宋体" w:hint="eastAsia"/>
                <w:sz w:val="22"/>
              </w:rPr>
            </w:pPr>
            <w:r>
              <w:rPr>
                <w:rFonts w:ascii="宋体" w:cs="宋体" w:hint="eastAsia"/>
                <w:sz w:val="22"/>
              </w:rPr>
              <w:t>部分修订生物原料药标准。对《生物原料标准》（MHLW通报2003第210号）中的反刍动物源性原料标准进行部分修改如下：将来源于30月龄及以下牛的“脊骨”和“颅骨”排除在禁止用作药物原料的部位清单之外等。根据世界动物卫生组织认为疯牛病病原体传播风险可忽略不计的国家的修订，更新关于原产国的描述，包括删除对加拿大原产材料的引用。</w:t>
            </w:r>
          </w:p>
        </w:tc>
      </w:tr>
      <w:tr>
        <w:trPr>
          <w:trHeight w:val="1549"/>
        </w:trPr>
        <w:tc>
          <w:tcPr>
            <w:tcW w:w="1383" w:type="dxa"/>
            <w:tcBorders>
              <w:tl2br w:val="nil"/>
              <w:tr2bl w:val="nil"/>
            </w:tcBorders>
            <w:vAlign w:val="center"/>
          </w:tcPr>
          <w:p>
            <w:pPr>
              <w:pStyle w:val="59"/>
              <w:jc w:val="center"/>
              <w:textAlignment w:val="center"/>
            </w:pPr>
            <w:r>
              <w:t>瑞士</w:t>
            </w:r>
          </w:p>
        </w:tc>
        <w:tc>
          <w:tcPr>
            <w:tcW w:w="659" w:type="dxa"/>
            <w:tcBorders>
              <w:top w:val="single" w:sz="4" w:space="0" w:color="000000"/>
              <w:left w:val="single" w:sz="4" w:space="0" w:color="000000"/>
              <w:right w:val="single" w:sz="4" w:space="0" w:color="000000"/>
            </w:tcBorders>
            <w:vAlign w:val="center"/>
          </w:tcPr>
          <w:p>
            <w:pPr>
              <w:pStyle w:val="128"/>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131" w:type="dxa"/>
            <w:vAlign w:val="center"/>
          </w:tcPr>
          <w:p>
            <w:pPr>
              <w:jc w:val="left"/>
              <w:rPr>
                <w:rFonts w:ascii="宋体" w:cs="宋体" w:hint="eastAsia"/>
                <w:sz w:val="22"/>
              </w:rPr>
            </w:pPr>
            <w:r>
              <w:rPr>
                <w:rFonts w:ascii="宋体" w:cs="宋体" w:hint="eastAsia"/>
                <w:sz w:val="22"/>
              </w:rPr>
              <w:t>联邦委员会关于修订《减少与使用某些特别危险物质、制剂和物品有关的风险条例》的法令草案（《减少化学风险条例》，ORRChem，联邦法律编号：SR 814.81）。禁止将与食品接触的包装以及打算一次性使用的消费品投放市场，如果它们在均质材料中超过以下值：至少一种非聚合PFASs的质量含量为0.0000025%(25 ppb)；非聚合PFASs的总和的质量含量为0.000025%(250ppb)，包括通过使用现有技术方法从前体化合物转化形成的那些；非聚合物和聚合物PFASs之和的质量含量为0.005%(50ppm)。</w:t>
            </w:r>
          </w:p>
        </w:tc>
      </w:tr>
      <w:tr>
        <w:trPr>
          <w:trHeight w:val="613"/>
        </w:trPr>
        <w:tc>
          <w:tcPr>
            <w:tcW w:w="1383" w:type="dxa"/>
            <w:vMerge w:val="restart"/>
            <w:tcBorders>
              <w:tl2br w:val="nil"/>
              <w:tr2bl w:val="nil"/>
            </w:tcBorders>
            <w:vAlign w:val="center"/>
          </w:tcPr>
          <w:p>
            <w:pPr>
              <w:pStyle w:val="172"/>
              <w:jc w:val="center"/>
              <w:textAlignment w:val="center"/>
            </w:pPr>
            <w:r>
              <w:t>坦桑尼亚</w:t>
            </w:r>
          </w:p>
        </w:tc>
        <w:tc>
          <w:tcPr>
            <w:tcW w:w="659" w:type="dxa"/>
            <w:tcBorders>
              <w:top w:val="single" w:sz="4" w:space="0" w:color="000000"/>
              <w:left w:val="single" w:sz="4" w:space="0" w:color="000000"/>
              <w:right w:val="single" w:sz="4" w:space="0" w:color="000000"/>
            </w:tcBorders>
            <w:vAlign w:val="center"/>
          </w:tcPr>
          <w:p>
            <w:pPr>
              <w:pStyle w:val="129"/>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131" w:type="dxa"/>
            <w:vAlign w:val="center"/>
          </w:tcPr>
          <w:p>
            <w:pPr>
              <w:jc w:val="left"/>
              <w:rPr>
                <w:rFonts w:ascii="宋体" w:cs="宋体" w:hint="eastAsia"/>
                <w:sz w:val="22"/>
              </w:rPr>
            </w:pPr>
            <w:r>
              <w:rPr>
                <w:rFonts w:ascii="宋体" w:cs="宋体" w:hint="eastAsia"/>
                <w:sz w:val="22"/>
              </w:rPr>
              <w:t>DARS 1035：2025，灭菌乳规范，第一版。该标准草案规定了用于直接供人食用或进一步加工的灭菌牛奶的要求、取样和测试方法。</w:t>
            </w:r>
          </w:p>
        </w:tc>
      </w:tr>
      <w:tr>
        <w:trPr>
          <w:trHeight w:val="639"/>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30"/>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131" w:type="dxa"/>
            <w:vAlign w:val="center"/>
          </w:tcPr>
          <w:p>
            <w:pPr>
              <w:jc w:val="left"/>
              <w:rPr>
                <w:rFonts w:ascii="宋体" w:cs="宋体" w:hint="eastAsia"/>
                <w:sz w:val="22"/>
              </w:rPr>
            </w:pPr>
            <w:r>
              <w:rPr>
                <w:rFonts w:ascii="宋体" w:cs="宋体" w:hint="eastAsia"/>
                <w:sz w:val="22"/>
              </w:rPr>
              <w:t>PCD 765：2025，纺织品钓鱼线规范，第一版。该标准草案规定了钓鱼线的要求、取样和测试方法。适用于聚酰胺（尼龙）单丝制渔线</w:t>
            </w:r>
            <w:r>
              <w:rPr>
                <w:rFonts w:ascii="宋体" w:cs="宋体"/>
                <w:sz w:val="22"/>
              </w:rPr>
              <w:t>。</w:t>
            </w:r>
          </w:p>
        </w:tc>
      </w:tr>
      <w:tr>
        <w:trPr>
          <w:trHeight w:val="700"/>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31"/>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131" w:type="dxa"/>
            <w:vAlign w:val="center"/>
          </w:tcPr>
          <w:p>
            <w:pPr>
              <w:jc w:val="left"/>
              <w:rPr>
                <w:rFonts w:ascii="宋体" w:cs="宋体" w:hint="eastAsia"/>
                <w:sz w:val="22"/>
              </w:rPr>
            </w:pPr>
            <w:r>
              <w:rPr>
                <w:rFonts w:ascii="宋体" w:cs="宋体" w:hint="eastAsia"/>
                <w:sz w:val="22"/>
              </w:rPr>
              <w:t>DARS 1033：2025，巴氏杀菌奶规范，第一版。本标准规定了巴氏杀菌奶的要求、取样和试验方法。山羊、绵羊、骆驼用于直接食用或进一步加工。</w:t>
            </w:r>
          </w:p>
        </w:tc>
      </w:tr>
      <w:tr>
        <w:trPr>
          <w:trHeight w:val="706"/>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32"/>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131" w:type="dxa"/>
            <w:vAlign w:val="center"/>
          </w:tcPr>
          <w:p>
            <w:pPr>
              <w:jc w:val="left"/>
              <w:rPr>
                <w:rFonts w:ascii="宋体" w:cs="宋体" w:hint="eastAsia"/>
                <w:sz w:val="22"/>
              </w:rPr>
            </w:pPr>
            <w:r>
              <w:rPr>
                <w:rFonts w:ascii="宋体" w:cs="宋体" w:hint="eastAsia"/>
                <w:sz w:val="22"/>
              </w:rPr>
              <w:t>DEAS 1307：2025，塑料餐具规范，第一版。该标准草案规定了一次性塑料餐具的要求、取样和测试方法，这些餐具旨在与最高工作温度为100°C的食品和饮料接触。标准草案不包括可生物降解的一次性塑料餐具。</w:t>
            </w:r>
          </w:p>
        </w:tc>
      </w:tr>
      <w:tr>
        <w:trPr>
          <w:trHeight w:val="1287"/>
        </w:trPr>
        <w:tc>
          <w:tcPr>
            <w:tcW w:w="1383" w:type="dxa"/>
            <w:tcBorders>
              <w:tl2br w:val="nil"/>
              <w:tr2bl w:val="nil"/>
            </w:tcBorders>
            <w:vAlign w:val="center"/>
          </w:tcPr>
          <w:p>
            <w:pPr>
              <w:pStyle w:val="59"/>
              <w:jc w:val="center"/>
              <w:textAlignment w:val="center"/>
            </w:pPr>
            <w:r>
              <w:t>土耳其</w:t>
            </w:r>
          </w:p>
        </w:tc>
        <w:tc>
          <w:tcPr>
            <w:tcW w:w="659" w:type="dxa"/>
            <w:tcBorders>
              <w:top w:val="single" w:sz="4" w:space="0" w:color="000000"/>
              <w:left w:val="single" w:sz="4" w:space="0" w:color="000000"/>
              <w:right w:val="single" w:sz="4" w:space="0" w:color="000000"/>
            </w:tcBorders>
            <w:vAlign w:val="center"/>
          </w:tcPr>
          <w:p>
            <w:pPr>
              <w:pStyle w:val="13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131" w:type="dxa"/>
            <w:vAlign w:val="center"/>
          </w:tcPr>
          <w:p>
            <w:pPr>
              <w:jc w:val="left"/>
              <w:rPr>
                <w:rFonts w:ascii="宋体" w:cs="宋体" w:hint="eastAsia"/>
                <w:sz w:val="22"/>
              </w:rPr>
            </w:pPr>
            <w:r>
              <w:rPr>
                <w:rFonts w:ascii="宋体" w:cs="宋体" w:hint="eastAsia"/>
                <w:sz w:val="22"/>
              </w:rPr>
              <w:t>关于在公共道路上流通的非道路移动机械的型式认证和市场监督的条例草案（2025/14/AB）。本法规的目的是规定所有打算在公共道路上使用的新型非道路移动机械的欧盟型式认证、欧盟单独认证和投放市场的技术要求、管理要求和程序。该条例还规定了非道路移动机械市场监管的规则和程序。本法规涵盖非道路移动机械（“U类车辆”），只要非道路移动机械投放市场，并打算在公共道路上偶尔或定期行驶，无论是否有驾驶员。本法规不涵盖最大设计速度超过40公里/小时的非道路移动机械</w:t>
            </w:r>
            <w:r>
              <w:rPr>
                <w:rFonts w:ascii="宋体" w:cs="宋体"/>
                <w:sz w:val="22"/>
              </w:rPr>
              <w:t>；</w:t>
            </w:r>
            <w:r>
              <w:rPr>
                <w:rFonts w:ascii="宋体" w:cs="宋体" w:hint="eastAsia"/>
                <w:sz w:val="22"/>
              </w:rPr>
              <w:t>最大设计速度不超过6公里/小时的非道路移动机械</w:t>
            </w:r>
            <w:r>
              <w:rPr>
                <w:rFonts w:ascii="宋体" w:cs="宋体"/>
                <w:sz w:val="22"/>
              </w:rPr>
              <w:t>；</w:t>
            </w:r>
            <w:r>
              <w:rPr>
                <w:rFonts w:ascii="宋体" w:cs="宋体" w:hint="eastAsia"/>
                <w:sz w:val="22"/>
              </w:rPr>
              <w:t>配备三个以上座位（包括驾驶员座位）的非道路移动机械。</w:t>
            </w:r>
          </w:p>
        </w:tc>
      </w:tr>
      <w:tr>
        <w:trPr>
          <w:trHeight w:val="407"/>
        </w:trPr>
        <w:tc>
          <w:tcPr>
            <w:tcW w:w="1383" w:type="dxa"/>
            <w:tcBorders>
              <w:tl2br w:val="nil"/>
              <w:tr2bl w:val="nil"/>
            </w:tcBorders>
            <w:vAlign w:val="center"/>
          </w:tcPr>
          <w:p>
            <w:pPr>
              <w:pStyle w:val="59"/>
              <w:jc w:val="center"/>
              <w:textAlignment w:val="center"/>
            </w:pPr>
            <w:r>
              <w:t>以色列</w:t>
            </w:r>
          </w:p>
        </w:tc>
        <w:tc>
          <w:tcPr>
            <w:tcW w:w="659" w:type="dxa"/>
            <w:tcBorders>
              <w:top w:val="single" w:sz="4" w:space="0" w:color="000000"/>
              <w:left w:val="single" w:sz="4" w:space="0" w:color="000000"/>
              <w:right w:val="single" w:sz="4" w:space="0" w:color="000000"/>
            </w:tcBorders>
            <w:vAlign w:val="center"/>
          </w:tcPr>
          <w:p>
            <w:pPr>
              <w:pStyle w:val="134"/>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131" w:type="dxa"/>
            <w:vAlign w:val="center"/>
          </w:tcPr>
          <w:p>
            <w:pPr>
              <w:jc w:val="left"/>
              <w:rPr>
                <w:rFonts w:ascii="宋体" w:cs="宋体" w:hint="eastAsia"/>
                <w:sz w:val="22"/>
              </w:rPr>
            </w:pPr>
            <w:r>
              <w:rPr>
                <w:rFonts w:ascii="宋体" w:cs="宋体" w:hint="eastAsia"/>
                <w:sz w:val="22"/>
              </w:rPr>
              <w:t>禁止广告和限制烟草和吸烟产品营销的法律修正案，5743-1983，纳入以色列经济政策法（实施2026预算年度经济政策的立法修正案），5786-2026，第12章：用于税收目的的吸烟产品监督法。该修正案草案已纳入以色列的《经济政策法（为实施2026财年经济政策的立法修正案，5786-2026）》第十二章：“基于税收目的的吸烟产品监管法”，并由财政部税务局公布。以色列的《经济政策法》是与《国家预算法》一同提交给以色列议会的政府法案。该立法包含了政府为实现其经济政策所必需的结构性、制度性和政策性改革方面的立法修正案。《经济政策法》设有独立章节，涵盖了一系列旨在保护公众健康的、规范香烟、电子烟及其他吸烟产品市场的法律和命令。新法律的目标是通过以下方式建立适用于吸烟产品的检查和控制系统：对供应链相关方进行注册和许可，并赋予检查权力。对《广告禁止法》的间接修订是新法律的配套法案的一部分，其中关于产品颜色必须统一的具体规定对税收执法有重大帮助。作为证据，税务局法律明确规定，电子烟的颜色不统一是未缴纳税款的证据。</w:t>
            </w:r>
          </w:p>
        </w:tc>
      </w:tr>
      <w:tr>
        <w:trPr>
          <w:trHeight w:val="329"/>
        </w:trPr>
        <w:tc>
          <w:tcPr>
            <w:tcW w:w="1383" w:type="dxa"/>
            <w:tcBorders>
              <w:tl2br w:val="nil"/>
              <w:tr2bl w:val="nil"/>
            </w:tcBorders>
            <w:vAlign w:val="center"/>
          </w:tcPr>
          <w:p>
            <w:pPr>
              <w:pStyle w:val="59"/>
              <w:jc w:val="center"/>
              <w:textAlignment w:val="center"/>
            </w:pPr>
            <w:r>
              <w:t>印度</w:t>
            </w:r>
          </w:p>
        </w:tc>
        <w:tc>
          <w:tcPr>
            <w:tcW w:w="659" w:type="dxa"/>
            <w:tcBorders>
              <w:top w:val="single" w:sz="4" w:space="0" w:color="000000"/>
              <w:left w:val="single" w:sz="4" w:space="0" w:color="000000"/>
              <w:right w:val="single" w:sz="4" w:space="0" w:color="000000"/>
            </w:tcBorders>
            <w:vAlign w:val="center"/>
          </w:tcPr>
          <w:p>
            <w:pPr>
              <w:pStyle w:val="13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131" w:type="dxa"/>
            <w:vAlign w:val="center"/>
          </w:tcPr>
          <w:p>
            <w:pPr>
              <w:jc w:val="left"/>
              <w:rPr>
                <w:rFonts w:ascii="宋体" w:cs="宋体" w:hint="eastAsia"/>
                <w:sz w:val="22"/>
              </w:rPr>
            </w:pPr>
            <w:r>
              <w:rPr>
                <w:rFonts w:ascii="宋体" w:cs="宋体" w:hint="eastAsia"/>
                <w:sz w:val="22"/>
              </w:rPr>
              <w:t>“物联网/M2M设备通信模块”新ER的通报。本建议文件包含两种变体的“IoT/M2M设备通信模块”的新基本要求，智能电表的独立/复合通信模块和独立/复合通信模块。通信模块是能够通过有线、无线电、光学或其他电磁系统发送和/或接收任何消息的单元。</w:t>
            </w:r>
          </w:p>
        </w:tc>
      </w:tr>
      <w:tr>
        <w:trPr>
          <w:trHeight w:val="703"/>
        </w:trPr>
        <w:tc>
          <w:tcPr>
            <w:tcW w:w="1383" w:type="dxa"/>
            <w:tcBorders>
              <w:tl2br w:val="nil"/>
              <w:tr2bl w:val="nil"/>
            </w:tcBorders>
            <w:vAlign w:val="center"/>
          </w:tcPr>
          <w:p>
            <w:pPr>
              <w:pStyle w:val="66"/>
              <w:jc w:val="center"/>
            </w:pPr>
            <w:r>
              <w:t>特立尼达和多巴哥</w:t>
            </w:r>
          </w:p>
        </w:tc>
        <w:tc>
          <w:tcPr>
            <w:tcW w:w="659" w:type="dxa"/>
            <w:tcBorders>
              <w:top w:val="single" w:sz="4" w:space="0" w:color="000000"/>
              <w:left w:val="single" w:sz="4" w:space="0" w:color="000000"/>
              <w:right w:val="single" w:sz="4" w:space="0" w:color="000000"/>
            </w:tcBorders>
            <w:vAlign w:val="center"/>
          </w:tcPr>
          <w:p>
            <w:pPr>
              <w:pStyle w:val="13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1</w:t>
            </w:r>
          </w:p>
        </w:tc>
        <w:tc>
          <w:tcPr>
            <w:tcW w:w="12131" w:type="dxa"/>
            <w:vAlign w:val="center"/>
          </w:tcPr>
          <w:p>
            <w:pPr>
              <w:jc w:val="left"/>
              <w:rPr>
                <w:rFonts w:ascii="宋体" w:cs="宋体" w:hint="eastAsia"/>
                <w:sz w:val="22"/>
              </w:rPr>
            </w:pPr>
            <w:r>
              <w:rPr>
                <w:rFonts w:ascii="宋体" w:cs="宋体" w:hint="eastAsia"/>
                <w:sz w:val="22"/>
              </w:rPr>
              <w:t>能源标签空调强制性要求。本文件规定了额定容量≤12kW的市电空调的能源标签要求和最低能源性能要求，通过以下参数进行冷却或加热（如果产品没有冷却功能）；能效比；性能系数。</w:t>
            </w:r>
          </w:p>
        </w:tc>
      </w:tr>
      <w:tr>
        <w:trPr>
          <w:trHeight w:val="2173"/>
        </w:trPr>
        <w:tc>
          <w:tcPr>
            <w:tcW w:w="1383" w:type="dxa"/>
            <w:vMerge w:val="restart"/>
            <w:tcBorders>
              <w:tl2br w:val="nil"/>
              <w:tr2bl w:val="nil"/>
            </w:tcBorders>
            <w:vAlign w:val="center"/>
          </w:tcPr>
          <w:p>
            <w:pPr>
              <w:pStyle w:val="179"/>
              <w:jc w:val="center"/>
            </w:pPr>
            <w:r>
              <w:t>乌克兰</w:t>
            </w:r>
          </w:p>
        </w:tc>
        <w:tc>
          <w:tcPr>
            <w:tcW w:w="659" w:type="dxa"/>
            <w:tcBorders>
              <w:top w:val="single" w:sz="4" w:space="0" w:color="000000"/>
              <w:left w:val="single" w:sz="4" w:space="0" w:color="000000"/>
              <w:right w:val="single" w:sz="4" w:space="0" w:color="000000"/>
            </w:tcBorders>
            <w:vAlign w:val="center"/>
          </w:tcPr>
          <w:p>
            <w:pPr>
              <w:pStyle w:val="137"/>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131" w:type="dxa"/>
            <w:vAlign w:val="center"/>
          </w:tcPr>
          <w:p>
            <w:pPr>
              <w:jc w:val="left"/>
              <w:rPr>
                <w:rFonts w:ascii="宋体" w:cs="宋体" w:hint="eastAsia"/>
                <w:sz w:val="22"/>
              </w:rPr>
            </w:pPr>
            <w:r>
              <w:rPr>
                <w:rFonts w:ascii="宋体" w:cs="宋体" w:hint="eastAsia"/>
                <w:sz w:val="22"/>
              </w:rPr>
              <w:t>乌克兰卫生部“关于批准限制在拟与食品接触的材料和物品中使用某些环氧衍生物的要求”的命令草案。该命令草案规定了限制在打算与食品接触的材料和物品中使用某些环氧衍生物的要求，并实施2005年11月18日关于限制在打算与食品接触的材料和物品中使用某些环氧衍生物的委员会条例（EC）第1895/2005号。这些要求适用于用或含有一种或多种以下物质制造的材料和制品，包括活性和智能食品接触材料和制品：2，2-双（4-羟基苯基）丙烷双（2，3-环氧丙基）醚（以下简称BADGE），CAS号001675-54-3，及其一些衍生物；双(羟基苯基)甲烷双(2,3-环氧丙基)醚，CAS号039817-09-9；其它酚醛清漆缩水甘油醚(下文称为-NOGE)。该命令的实施将有助于保护公众健康，防止某些环氧树脂可能存在于旨在与食品接触的材料和物品中的潜在有害影响。它也是根据SPS协议通知的。</w:t>
            </w:r>
          </w:p>
        </w:tc>
      </w:tr>
      <w:tr>
        <w:trPr>
          <w:trHeight w:val="554"/>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38"/>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131" w:type="dxa"/>
            <w:vAlign w:val="center"/>
          </w:tcPr>
          <w:p>
            <w:pPr>
              <w:jc w:val="left"/>
              <w:rPr>
                <w:rFonts w:ascii="宋体" w:cs="宋体" w:hint="eastAsia"/>
                <w:sz w:val="22"/>
              </w:rPr>
            </w:pPr>
            <w:r>
              <w:rPr>
                <w:rFonts w:ascii="宋体" w:cs="宋体" w:hint="eastAsia"/>
                <w:sz w:val="22"/>
              </w:rPr>
              <w:t>乌克兰卫生部2025年11月3日第1668号令“关于批准国家危险因素注册注册档案审查程序和注册档案要求”。该命令批准了提交危险因素国家登记的登记档案的审查程序，并规定了此类档案的要求。它是为了执行乌克兰内阁2025年5月21日第588号决议批准的危险因素国家登记程序而通过的）。该命令规定了授权专家机构，即国有企业“乌克兰卫生部卫生监管委员会”审查注册档案的程序，并确保危险因素国家注册的统一和一致程序。</w:t>
            </w:r>
          </w:p>
        </w:tc>
      </w:tr>
      <w:tr>
        <w:trPr>
          <w:trHeight w:val="1549"/>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39"/>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131" w:type="dxa"/>
            <w:vAlign w:val="center"/>
          </w:tcPr>
          <w:p>
            <w:pPr>
              <w:jc w:val="left"/>
              <w:rPr>
                <w:rFonts w:ascii="宋体" w:cs="宋体" w:hint="eastAsia"/>
                <w:sz w:val="22"/>
              </w:rPr>
            </w:pPr>
            <w:r>
              <w:rPr>
                <w:rFonts w:ascii="宋体" w:cs="宋体" w:hint="eastAsia"/>
                <w:sz w:val="22"/>
              </w:rPr>
              <w:t>乌克兰卫生部“关于批准对进行药物临床试验和临床试验材料审查程序的修正案”的命令草案。根据欧洲议会和理事会2014年4月16日关于人用药品临床试验和废除指令2001/20/EC的第536/2014号法规（EU），并根据ICH-GCP指南，制定了该命令草案，以加强在乌克兰组织和开展药物临床试验的系统。该命令草案提议更新临床试验文件的要求，引入新的术语（包括辅助和高级治疗药物、临床试验的提前终止、临床试验的开始、临床试验的结束和研究药物的批量认证），建立标签要求，定义共同申办的概念，并允许进行低干预的临床试验。</w:t>
            </w:r>
          </w:p>
        </w:tc>
      </w:tr>
      <w:tr>
        <w:trPr>
          <w:trHeight w:val="2656"/>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40"/>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131" w:type="dxa"/>
            <w:vAlign w:val="center"/>
          </w:tcPr>
          <w:p>
            <w:pPr>
              <w:jc w:val="left"/>
              <w:rPr>
                <w:rFonts w:ascii="宋体" w:cs="宋体" w:hint="eastAsia"/>
                <w:sz w:val="22"/>
              </w:rPr>
            </w:pPr>
            <w:r>
              <w:rPr>
                <w:rFonts w:ascii="宋体" w:cs="宋体" w:hint="eastAsia"/>
                <w:sz w:val="22"/>
              </w:rPr>
              <w:t>乌克兰卫生部“关于批准乌克兰卫生部某些监管法案修正案”的命令草案。考虑到与利益攸关方协商的结果，对命令草案进行了修订，现在纳入了编辑修正和澄清，包括与术语有关的修正和澄清。该修订澄清了膳食补充剂中使用的物质清单的方法及其安全特性。为了消除模棱两可的解释并确保统一的方法，第6栏“根据基于危害分析系统原则的永久性程序的要求进行评估的物质”已从《膳食补充剂卫生要求》附件3的清单I“允许用于膳食补充剂的植物、藻类和真菌”中删除。根据权威科学来源和欧盟实践，对上述清单一进行了更新，澄清了植物、植物部分的名称以及相关的警告和限制。在同一附件的清单四“具有营养或生理作用的物质”中，物质“原花青素”已被澄清为“低聚原花青素”，这符合EFSA和其他可靠来源的现有科学结论；这种物质没有单独的每日摄入量限制。通过使用术语“每日可接受摄入量”和“最大允许水平”，与剂量和安全性参数相关的术语已与乌克兰立法保持一致。</w:t>
            </w:r>
          </w:p>
        </w:tc>
      </w:tr>
      <w:tr>
        <w:trPr>
          <w:trHeight w:val="1069"/>
        </w:trPr>
        <w:tc>
          <w:tcPr>
            <w:tcW w:w="1383" w:type="dxa"/>
            <w:vMerge w:val="restart"/>
            <w:tcBorders>
              <w:tl2br w:val="nil"/>
              <w:tr2bl w:val="nil"/>
            </w:tcBorders>
            <w:vAlign w:val="center"/>
          </w:tcPr>
          <w:p>
            <w:pPr>
              <w:pStyle w:val="180"/>
              <w:jc w:val="center"/>
            </w:pPr>
            <w:r>
              <w:t>英国</w:t>
            </w:r>
          </w:p>
        </w:tc>
        <w:tc>
          <w:tcPr>
            <w:tcW w:w="659" w:type="dxa"/>
            <w:tcBorders>
              <w:top w:val="single" w:sz="4" w:space="0" w:color="000000"/>
              <w:left w:val="single" w:sz="4" w:space="0" w:color="000000"/>
              <w:right w:val="single" w:sz="4" w:space="0" w:color="000000"/>
            </w:tcBorders>
            <w:vAlign w:val="center"/>
          </w:tcPr>
          <w:p>
            <w:pPr>
              <w:pStyle w:val="141"/>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131" w:type="dxa"/>
            <w:vAlign w:val="center"/>
          </w:tcPr>
          <w:p>
            <w:pPr>
              <w:jc w:val="left"/>
              <w:rPr>
                <w:rFonts w:ascii="宋体" w:cs="宋体" w:hint="eastAsia"/>
                <w:sz w:val="22"/>
              </w:rPr>
            </w:pPr>
            <w:r>
              <w:rPr>
                <w:rFonts w:ascii="宋体" w:cs="宋体" w:hint="eastAsia"/>
                <w:sz w:val="22"/>
              </w:rPr>
              <w:t>2026年强制性用水效率标签法规。这些法规是根据国际标准ISO 31600：2022制定的。这些规定将使经销商和供应商都承担义务。供应商必须测试其产品，以确定所涵盖产品的正确用水效率带，制作必要的标签贴在产品上，并免费向经销商提供标签。他们还有义务提供与相关产品的用水效率相关的信息，以纳入数据库。经销商必须确保标签在销售点始终清晰可见。</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42"/>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131" w:type="dxa"/>
            <w:vAlign w:val="center"/>
          </w:tcPr>
          <w:p>
            <w:pPr>
              <w:jc w:val="left"/>
              <w:rPr>
                <w:rFonts w:ascii="宋体" w:cs="宋体" w:hint="eastAsia"/>
                <w:sz w:val="22"/>
              </w:rPr>
            </w:pPr>
            <w:r>
              <w:rPr>
                <w:rFonts w:ascii="宋体" w:cs="宋体" w:hint="eastAsia"/>
                <w:sz w:val="22"/>
              </w:rPr>
              <w:t>提议的英国（GB）对60种危险化学物质进行强制性分类和标签。本提案的目的是在审查后修订英国强制性分类和标签清单（英国MCL清单），为60种危险化学物质的强制性分类和标签引入新的和修订的条目。</w:t>
            </w:r>
          </w:p>
        </w:tc>
      </w:tr>
      <w:tr>
        <w:trPr>
          <w:trHeight w:val="925"/>
        </w:trPr>
        <w:tc>
          <w:tcPr>
            <w:tcW w:w="1383" w:type="dxa"/>
            <w:vMerge w:val="restart"/>
            <w:tcBorders>
              <w:tl2br w:val="nil"/>
              <w:tr2bl w:val="nil"/>
            </w:tcBorders>
            <w:vAlign w:val="center"/>
          </w:tcPr>
          <w:p>
            <w:pPr>
              <w:pStyle w:val="183"/>
              <w:jc w:val="center"/>
            </w:pPr>
            <w:r>
              <w:t>越南</w:t>
            </w:r>
          </w:p>
        </w:tc>
        <w:tc>
          <w:tcPr>
            <w:tcW w:w="659" w:type="dxa"/>
            <w:tcBorders>
              <w:top w:val="single" w:sz="4" w:space="0" w:color="000000"/>
              <w:left w:val="single" w:sz="4" w:space="0" w:color="000000"/>
              <w:right w:val="single" w:sz="4" w:space="0" w:color="000000"/>
            </w:tcBorders>
            <w:vAlign w:val="center"/>
          </w:tcPr>
          <w:p>
            <w:pPr>
              <w:pStyle w:val="14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131" w:type="dxa"/>
            <w:vAlign w:val="center"/>
          </w:tcPr>
          <w:p>
            <w:pPr>
              <w:jc w:val="left"/>
              <w:rPr>
                <w:rFonts w:ascii="宋体" w:cs="宋体" w:hint="eastAsia"/>
                <w:sz w:val="22"/>
              </w:rPr>
            </w:pPr>
            <w:r>
              <w:rPr>
                <w:rFonts w:ascii="宋体" w:cs="宋体" w:hint="eastAsia"/>
                <w:sz w:val="22"/>
              </w:rPr>
              <w:t>虹膜生物识别国家技术法规草案。该国家技术条例草案规定了符合越南身份法的虹膜生物识别技术要求。该国家技术条例草案适用于：直接负责收集、管理和使用虹膜生物识别数据以实施身份法的相关当局和地方的警察，参与采购、进口、交易、生产和制造虹膜成像设备以实施身份法的组织和个人。</w:t>
            </w:r>
          </w:p>
        </w:tc>
      </w:tr>
      <w:tr>
        <w:trPr>
          <w:trHeight w:val="944"/>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44"/>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131" w:type="dxa"/>
            <w:vAlign w:val="center"/>
          </w:tcPr>
          <w:p>
            <w:pPr>
              <w:jc w:val="left"/>
              <w:rPr>
                <w:rFonts w:ascii="宋体" w:cs="宋体" w:hint="eastAsia"/>
                <w:sz w:val="22"/>
              </w:rPr>
            </w:pPr>
            <w:r>
              <w:rPr>
                <w:rFonts w:ascii="宋体" w:cs="宋体" w:hint="eastAsia"/>
                <w:sz w:val="22"/>
              </w:rPr>
              <w:t>国家语音生物识别技术法规草案。该国家技术法规草案规定了符合《越南身份法》的语音生物识别技术要求，包括：公民年龄和声音的实际条件；录音设备；环境记录条件；记录程序；存储格式。该国家技术条例草案适用于：直接负责接收、管理和使用语音生物识别技术以执行身份法的机构和地方的警察，参与购买、进口、贸易、生产和制造受管制设备的组织和个人。</w:t>
            </w:r>
          </w:p>
        </w:tc>
      </w:tr>
      <w:tr>
        <w:trPr>
          <w:trHeight w:val="613"/>
        </w:trPr>
        <w:tc>
          <w:tcPr>
            <w:tcW w:w="1383" w:type="dxa"/>
            <w:tcBorders>
              <w:tl2br w:val="nil"/>
              <w:tr2bl w:val="nil"/>
            </w:tcBorders>
            <w:vAlign w:val="center"/>
          </w:tcPr>
          <w:p>
            <w:pPr>
              <w:pStyle w:val="95"/>
              <w:jc w:val="center"/>
            </w:pPr>
            <w:r>
              <w:t>约旦</w:t>
            </w:r>
          </w:p>
        </w:tc>
        <w:tc>
          <w:tcPr>
            <w:tcW w:w="659" w:type="dxa"/>
            <w:tcBorders>
              <w:top w:val="single" w:sz="4" w:space="0" w:color="000000"/>
              <w:left w:val="single" w:sz="4" w:space="0" w:color="000000"/>
              <w:right w:val="single" w:sz="4" w:space="0" w:color="000000"/>
            </w:tcBorders>
            <w:vAlign w:val="center"/>
          </w:tcPr>
          <w:p>
            <w:pPr>
              <w:pStyle w:val="14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131" w:type="dxa"/>
            <w:vAlign w:val="center"/>
          </w:tcPr>
          <w:p>
            <w:pPr>
              <w:jc w:val="left"/>
              <w:rPr>
                <w:rFonts w:ascii="宋体" w:cs="宋体" w:hint="eastAsia"/>
                <w:sz w:val="22"/>
              </w:rPr>
            </w:pPr>
            <w:r>
              <w:rPr>
                <w:rFonts w:ascii="宋体" w:cs="宋体" w:hint="eastAsia"/>
                <w:sz w:val="22"/>
              </w:rPr>
              <w:t>卫生事务和食品安全食品微生物学标准第3部分：香料、调味品及其制品。该约旦标准涉及表(1)中列出的香料、调味品及其产品的微生物标准。</w:t>
            </w:r>
          </w:p>
        </w:tc>
      </w:tr>
      <w:tr>
        <w:trPr>
          <w:trHeight w:val="925"/>
        </w:trPr>
        <w:tc>
          <w:tcPr>
            <w:tcW w:w="1383" w:type="dxa"/>
            <w:vMerge w:val="restart"/>
            <w:tcBorders>
              <w:tl2br w:val="nil"/>
              <w:tr2bl w:val="nil"/>
            </w:tcBorders>
            <w:vAlign w:val="center"/>
          </w:tcPr>
          <w:p>
            <w:pPr>
              <w:pStyle w:val="196"/>
              <w:jc w:val="center"/>
            </w:pPr>
            <w:r>
              <w:rPr>
                <w:rFonts w:ascii="Times New Roman" w:cs="Times New Roman" w:hAnsi="Times New Roman"/>
                <w:color w:val="000000"/>
                <w:sz w:val="22"/>
                <w:szCs w:val="22"/>
              </w:rPr>
              <w:t>智利</w:t>
            </w:r>
          </w:p>
        </w:tc>
        <w:tc>
          <w:tcPr>
            <w:tcW w:w="659" w:type="dxa"/>
            <w:tcBorders>
              <w:top w:val="single" w:sz="4" w:space="0" w:color="000000"/>
              <w:left w:val="single" w:sz="4" w:space="0" w:color="000000"/>
              <w:right w:val="single" w:sz="4" w:space="0" w:color="000000"/>
            </w:tcBorders>
            <w:vAlign w:val="center"/>
          </w:tcPr>
          <w:p>
            <w:pPr>
              <w:pStyle w:val="14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131" w:type="dxa"/>
            <w:vAlign w:val="center"/>
          </w:tcPr>
          <w:p>
            <w:pPr>
              <w:jc w:val="left"/>
              <w:rPr>
                <w:rFonts w:ascii="宋体" w:cs="宋体" w:hint="eastAsia"/>
                <w:sz w:val="22"/>
              </w:rPr>
            </w:pPr>
            <w:r>
              <w:rPr>
                <w:rFonts w:ascii="宋体" w:cs="宋体" w:hint="eastAsia"/>
                <w:sz w:val="22"/>
              </w:rPr>
              <w:t>NCh176/1：2019木材第1部分水分含量的测定。本标准规定了以下直接测定木材含水率的方法：烘箱干燥法和蒸馏法。标准NCh2827中描述了使用木材湿度计测定木材水分含量的方法。本标准包括使用微波炉测定水分含量，仅供参考（见附件B）。本标准适用于锯材和层压板。本标准不适用于电路板。</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47"/>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131" w:type="dxa"/>
            <w:vAlign w:val="center"/>
          </w:tcPr>
          <w:p>
            <w:pPr>
              <w:jc w:val="left"/>
              <w:rPr>
                <w:rFonts w:ascii="宋体" w:cs="宋体" w:hint="eastAsia"/>
                <w:sz w:val="22"/>
              </w:rPr>
            </w:pPr>
            <w:r>
              <w:rPr>
                <w:rFonts w:ascii="宋体" w:cs="宋体" w:hint="eastAsia"/>
                <w:sz w:val="22"/>
              </w:rPr>
              <w:t>NCh723：2019木材光滑木门扇试验方法。本标准规定了测试NCh354标准中规定的光滑木门门扇及其部件的物理和机械特性的测试方法。本标准适用于符合NCh354标准分类的光滑木门门扇。</w:t>
            </w:r>
          </w:p>
        </w:tc>
      </w:tr>
      <w:tr>
        <w:trPr>
          <w:trHeight w:val="123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48"/>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131" w:type="dxa"/>
            <w:vAlign w:val="center"/>
          </w:tcPr>
          <w:p>
            <w:pPr>
              <w:jc w:val="left"/>
              <w:rPr>
                <w:rFonts w:ascii="宋体" w:cs="宋体" w:hint="eastAsia"/>
                <w:sz w:val="22"/>
              </w:rPr>
            </w:pPr>
            <w:r>
              <w:rPr>
                <w:rFonts w:ascii="宋体" w:cs="宋体" w:hint="eastAsia"/>
                <w:sz w:val="22"/>
              </w:rPr>
              <w:t>NCh1970/1：2017木材第1部分：阔叶树种结构用途的视觉分类-质量等级规范。本标准规定了用于结构用途并通过目视程序进行分类的阔叶树种锯材或拉丝材必须满足的要求。本标准适用于所有具有结构用途的阔叶树种木材，无论其含水率如何。然而，当水分含量等于使用地点的平衡水分时，可以最有效地使用绿色木材，仅出于技术服务原因或某些木材物种的干燥过程中涉及的困难，才证明使用绿色木材是合理的。</w:t>
            </w:r>
          </w:p>
        </w:tc>
      </w:tr>
      <w:tr>
        <w:trPr>
          <w:trHeight w:val="789"/>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49"/>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131" w:type="dxa"/>
            <w:vAlign w:val="center"/>
          </w:tcPr>
          <w:p>
            <w:pPr>
              <w:jc w:val="left"/>
              <w:rPr>
                <w:rFonts w:ascii="宋体" w:cs="宋体" w:hint="eastAsia"/>
                <w:sz w:val="22"/>
              </w:rPr>
            </w:pPr>
            <w:r>
              <w:rPr>
                <w:rFonts w:ascii="宋体" w:cs="宋体" w:hint="eastAsia"/>
                <w:sz w:val="22"/>
              </w:rPr>
              <w:t>NCh1970/2：2017木材第2部分：针叶树种结构用途的目视分类质量等级规范。本标准规定了来自针叶树种的干锯或拉丝木材（H≤20%）必须满足的要求，用于结构用途并通过目视程序进行分类。</w:t>
            </w:r>
          </w:p>
        </w:tc>
      </w:tr>
      <w:tr>
        <w:trPr>
          <w:trHeight w:val="560"/>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50"/>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131" w:type="dxa"/>
            <w:vAlign w:val="center"/>
          </w:tcPr>
          <w:p>
            <w:pPr>
              <w:jc w:val="left"/>
              <w:rPr>
                <w:rFonts w:ascii="宋体" w:cs="宋体" w:hint="eastAsia"/>
                <w:sz w:val="22"/>
              </w:rPr>
            </w:pPr>
            <w:r>
              <w:rPr>
                <w:rFonts w:ascii="宋体" w:cs="宋体" w:hint="eastAsia"/>
                <w:sz w:val="22"/>
              </w:rPr>
              <w:t>NCh223：2020建筑冷弯涂层钢板要求。本标准规定了涂有55%铝锌或其他金属涂层的冷弯钢板必须满足的要求、尺寸、测试方法和取样系统的建议，这些涂层是通过热浸工艺获得的，具有最佳的防腐性能，用于覆盖物和涂层。</w:t>
            </w:r>
          </w:p>
        </w:tc>
      </w:tr>
      <w:tr>
        <w:trPr>
          <w:trHeight w:val="186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131" w:type="dxa"/>
            <w:vAlign w:val="center"/>
          </w:tcPr>
          <w:p>
            <w:pPr>
              <w:jc w:val="left"/>
              <w:rPr>
                <w:rFonts w:ascii="宋体" w:cs="宋体" w:hint="eastAsia"/>
                <w:sz w:val="22"/>
              </w:rPr>
            </w:pPr>
            <w:r>
              <w:rPr>
                <w:rFonts w:ascii="宋体" w:cs="宋体" w:hint="eastAsia"/>
                <w:sz w:val="22"/>
              </w:rPr>
              <w:t>修订《食品卫生条例》（D.S.977/96），引入了食品储存和控制的要求。对进口食品的程序进行了分析，发现目前的文件没有明确规定进口商和地区卫生部秘书处（SEREMI）和其他公共服务的工作人员在控制进口食品的过程中应遵循的事项，如所需的背景和程序。从这个意义上说，卫生部、国家海关总署和私营部门通过生产促进公司领导的生产力执行局提出了改进《人类消费食品进口手册》的意见和请求。然而，根据对《食品卫生条例》规定的内容和上述手册规定的要求的分析，决定根据《食品法典》规定的透明度原则和粮农组织/世界卫生组织的建议，在条例中规定了要求。该标准在第977/96号最高法令中明确引入了食品进口的卫生要求。</w:t>
            </w:r>
          </w:p>
        </w:tc>
      </w:tr>
      <w:tr>
        <w:trPr>
          <w:trHeight w:val="1549"/>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52"/>
              <w:jc w:val="center"/>
              <w:rPr>
                <w:rFonts w:ascii="Times New Roman" w:cs="Times New Roman" w:hAnsi="Times New Roman"/>
                <w:color w:val="000000"/>
                <w:sz w:val="22"/>
                <w:szCs w:val="22"/>
              </w:rPr>
            </w:pPr>
            <w:r>
              <w:rPr>
                <w:rFonts w:ascii="Times New Roman" w:cs="Times New Roman" w:hAnsi="Times New Roman"/>
                <w:color w:val="000000"/>
                <w:sz w:val="22"/>
                <w:szCs w:val="22"/>
              </w:rPr>
              <w:t>67</w:t>
            </w:r>
          </w:p>
        </w:tc>
        <w:tc>
          <w:tcPr>
            <w:tcW w:w="12131" w:type="dxa"/>
            <w:vAlign w:val="center"/>
          </w:tcPr>
          <w:p>
            <w:pPr>
              <w:jc w:val="left"/>
              <w:rPr>
                <w:rFonts w:ascii="宋体" w:cs="宋体" w:hint="eastAsia"/>
                <w:sz w:val="22"/>
              </w:rPr>
            </w:pPr>
            <w:r>
              <w:rPr>
                <w:rFonts w:ascii="宋体" w:cs="宋体" w:hint="eastAsia"/>
                <w:sz w:val="22"/>
              </w:rPr>
              <w:t>修订卫生部第394/02号豁免决议的提案，制定了有关食品补充剂及其维生素和矿物质含量的营养指南。目前，各种类型的糖，即所谓的传统糖和非传统糖，用于赋予食品甜味，也使用作为辅助作用赋予食品甜味的添加剂，这些添加剂没有明确包括在卫生部第393/02号豁免决议的强化排除清单中。出现的问题是，由于不包括在该排除清单中，它们可能被用作在体内具有生理作用的物质或元素的载体，如维生素、矿物质、pre、益生菌、β-葡聚糖、EPA和DHA，这代表了该法规的解释问题及其对监管的影响。</w:t>
            </w:r>
          </w:p>
        </w:tc>
      </w:tr>
      <w:tr>
        <w:trPr>
          <w:trHeight w:val="1549"/>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53"/>
              <w:jc w:val="center"/>
              <w:rPr>
                <w:rFonts w:ascii="Times New Roman" w:cs="Times New Roman" w:hAnsi="Times New Roman"/>
                <w:color w:val="000000"/>
                <w:sz w:val="22"/>
                <w:szCs w:val="22"/>
              </w:rPr>
            </w:pPr>
            <w:r>
              <w:rPr>
                <w:rFonts w:ascii="Times New Roman" w:cs="Times New Roman" w:hAnsi="Times New Roman"/>
                <w:color w:val="000000"/>
                <w:sz w:val="22"/>
                <w:szCs w:val="22"/>
              </w:rPr>
              <w:t>68</w:t>
            </w:r>
          </w:p>
        </w:tc>
        <w:tc>
          <w:tcPr>
            <w:tcW w:w="12131" w:type="dxa"/>
            <w:vAlign w:val="center"/>
          </w:tcPr>
          <w:p>
            <w:pPr>
              <w:jc w:val="left"/>
              <w:rPr>
                <w:rFonts w:ascii="宋体" w:cs="宋体" w:hint="eastAsia"/>
                <w:sz w:val="22"/>
              </w:rPr>
            </w:pPr>
            <w:r>
              <w:rPr>
                <w:rFonts w:ascii="宋体" w:cs="宋体" w:hint="eastAsia"/>
                <w:sz w:val="22"/>
              </w:rPr>
              <w:t>修订卫生部第393/02号豁免决议的提案，该决议规定了食品中维生素、矿物质和膳食纤维使用的营养指南。目前，各种类型的糖，即所谓的传统糖和非传统糖，被用于赋予食品甜味，也使用作为次要作用赋予食品甜味的添加剂，这些添加剂没有明确包括在卫生部第393/02号豁免决议的强化排除清单中。出现的问题是，由于它们不包括在该排除清单中，它们可以用作在生物体中具有生理作用的物质或元素的载体，如维生素、矿物质、pre、益生菌、β-葡聚糖、EPA和DHA，这代表了该法规的解释问题及其对控制的影响。</w:t>
            </w:r>
          </w:p>
        </w:tc>
      </w:tr>
      <w:tr>
        <w:trPr>
          <w:trHeight w:val="30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69</w:t>
            </w:r>
          </w:p>
        </w:tc>
        <w:tc>
          <w:tcPr>
            <w:tcW w:w="12131" w:type="dxa"/>
            <w:vAlign w:val="center"/>
          </w:tcPr>
          <w:p>
            <w:pPr>
              <w:jc w:val="left"/>
              <w:rPr>
                <w:rFonts w:ascii="宋体" w:cs="宋体" w:hint="eastAsia"/>
                <w:sz w:val="22"/>
              </w:rPr>
            </w:pPr>
            <w:r>
              <w:rPr>
                <w:rFonts w:ascii="宋体" w:cs="宋体" w:hint="eastAsia"/>
                <w:sz w:val="22"/>
              </w:rPr>
              <w:t>修订2018年第9,074号决议和2014年第1,557号决议，以纳入并更新天然与合成农药的特别授权。本次通报的措施旨在更新农牧局（SAG）对2018年第9,074号决议中微生物农药的要求，使其与2014年第1,557号决议的规定相协调，并新增对天然与合成农药的特别授权。此外，该措施补充了近期法规中引入的定义和术语，并对文件数字化和高级电子签名的使用等作出了规定。更多细节可查阅本通知所附文件。</w:t>
            </w:r>
          </w:p>
        </w:tc>
      </w:tr>
      <w:tr>
        <w:trPr>
          <w:trHeight w:val="123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70</w:t>
            </w:r>
          </w:p>
        </w:tc>
        <w:tc>
          <w:tcPr>
            <w:tcW w:w="12131" w:type="dxa"/>
            <w:vAlign w:val="center"/>
          </w:tcPr>
          <w:p>
            <w:pPr>
              <w:jc w:val="left"/>
              <w:rPr>
                <w:rFonts w:ascii="宋体" w:cs="宋体" w:hint="eastAsia"/>
                <w:sz w:val="22"/>
              </w:rPr>
            </w:pPr>
            <w:r>
              <w:rPr>
                <w:rFonts w:ascii="宋体" w:cs="宋体" w:hint="eastAsia"/>
                <w:sz w:val="22"/>
              </w:rPr>
              <w:t>NCh523：2020铝木工门窗要求。本标准规定了铝门窗必须满足的要求，以确保其正常运行、耐用性和用户的安全性。本标准适用于住宅、住宅、商业、机构、教育、卫生和其他类似建筑的外部和内部使用的铝门窗。本标准不适用于安全门、非住宅重型工作门，例如工业仓库、公共通道的可移动外墙和/或用于车辆或动物通过的门。本标准不适用于铝幕墙，但其活动或开放元件必须满足本标准中规定的要求。</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hint="eastAsia"/>
          <w:kern w:val="0"/>
          <w:sz w:val="32"/>
          <w:szCs w:val="32"/>
        </w:rPr>
        <w:t>感谢关注武汉海关的技术性贸易措施工作！后期，我们将持续收集和更新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2026</w:t>
      </w:r>
      <w:r>
        <w:rPr>
          <w:rFonts w:ascii="Times New Roman" w:eastAsia="方正仿宋_GBK" w:cs="方正仿宋_GBK" w:hAnsi="Times New Roman" w:hint="eastAsia"/>
          <w:sz w:val="32"/>
          <w:szCs w:val="32"/>
        </w:rPr>
        <w:t>年</w:t>
      </w:r>
      <w:r>
        <w:rPr>
          <w:rFonts w:ascii="Times New Roman" w:eastAsia="方正仿宋_GBK" w:cs="Times New Roman" w:hAnsi="Times New Roman"/>
          <w:sz w:val="32"/>
          <w:szCs w:val="32"/>
        </w:rPr>
        <w:t>2</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24</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32"/>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 w:type="paragraph" w:customStyle="1" w:styleId="100">
    <w:name w:val="样式 70 10 磅"/>
    <w:pPr>
      <w:widowControl w:val="0"/>
      <w:jc w:val="both"/>
    </w:pPr>
    <w:rPr>
      <w:rFonts w:ascii="Calibri" w:eastAsia="宋体" w:cs="Calibri" w:hAnsi="Calibri"/>
      <w:kern w:val="2"/>
      <w:sz w:val="21"/>
      <w:szCs w:val="21"/>
      <w:lang w:val="en-US" w:eastAsia="zh-CN" w:bidi="ar-SA"/>
    </w:rPr>
  </w:style>
  <w:style w:type="paragraph" w:customStyle="1" w:styleId="101">
    <w:name w:val="样式 71 10 磅"/>
    <w:pPr>
      <w:widowControl w:val="0"/>
      <w:jc w:val="both"/>
    </w:pPr>
    <w:rPr>
      <w:rFonts w:ascii="Calibri" w:eastAsia="宋体" w:cs="Calibri" w:hAnsi="Calibri"/>
      <w:kern w:val="2"/>
      <w:sz w:val="21"/>
      <w:szCs w:val="21"/>
      <w:lang w:val="en-US" w:eastAsia="zh-CN" w:bidi="ar-SA"/>
    </w:rPr>
  </w:style>
  <w:style w:type="paragraph" w:customStyle="1" w:styleId="102">
    <w:name w:val="样式 72 10 磅"/>
    <w:pPr>
      <w:widowControl w:val="0"/>
      <w:jc w:val="both"/>
    </w:pPr>
    <w:rPr>
      <w:rFonts w:ascii="Calibri" w:eastAsia="宋体" w:cs="Calibri" w:hAnsi="Calibri"/>
      <w:kern w:val="2"/>
      <w:sz w:val="21"/>
      <w:szCs w:val="21"/>
      <w:lang w:val="en-US" w:eastAsia="zh-CN" w:bidi="ar-SA"/>
    </w:rPr>
  </w:style>
  <w:style w:type="paragraph" w:customStyle="1" w:styleId="103">
    <w:name w:val="样式 73 10 磅"/>
    <w:pPr>
      <w:widowControl w:val="0"/>
      <w:jc w:val="both"/>
    </w:pPr>
    <w:rPr>
      <w:rFonts w:ascii="Calibri" w:eastAsia="宋体" w:cs="Calibri" w:hAnsi="Calibri"/>
      <w:kern w:val="2"/>
      <w:sz w:val="21"/>
      <w:szCs w:val="21"/>
      <w:lang w:val="en-US" w:eastAsia="zh-CN" w:bidi="ar-SA"/>
    </w:rPr>
  </w:style>
  <w:style w:type="paragraph" w:customStyle="1" w:styleId="104">
    <w:name w:val="样式 74 10 磅"/>
    <w:pPr>
      <w:widowControl w:val="0"/>
      <w:jc w:val="both"/>
    </w:pPr>
    <w:rPr>
      <w:rFonts w:ascii="Calibri" w:eastAsia="宋体" w:cs="Calibri" w:hAnsi="Calibri"/>
      <w:kern w:val="2"/>
      <w:sz w:val="21"/>
      <w:szCs w:val="21"/>
      <w:lang w:val="en-US" w:eastAsia="zh-CN" w:bidi="ar-SA"/>
    </w:rPr>
  </w:style>
  <w:style w:type="paragraph" w:customStyle="1" w:styleId="105">
    <w:name w:val="样式 75 10 磅"/>
    <w:pPr>
      <w:widowControl w:val="0"/>
      <w:jc w:val="both"/>
    </w:pPr>
    <w:rPr>
      <w:rFonts w:ascii="Calibri" w:eastAsia="宋体" w:cs="Calibri" w:hAnsi="Calibri"/>
      <w:kern w:val="2"/>
      <w:sz w:val="21"/>
      <w:szCs w:val="21"/>
      <w:lang w:val="en-US" w:eastAsia="zh-CN" w:bidi="ar-SA"/>
    </w:rPr>
  </w:style>
  <w:style w:type="paragraph" w:customStyle="1" w:styleId="106">
    <w:name w:val="样式 76 10 磅"/>
    <w:pPr>
      <w:widowControl w:val="0"/>
      <w:jc w:val="both"/>
    </w:pPr>
    <w:rPr>
      <w:rFonts w:ascii="Calibri" w:eastAsia="宋体" w:cs="Calibri" w:hAnsi="Calibri"/>
      <w:kern w:val="2"/>
      <w:sz w:val="21"/>
      <w:szCs w:val="21"/>
      <w:lang w:val="en-US" w:eastAsia="zh-CN" w:bidi="ar-SA"/>
    </w:rPr>
  </w:style>
  <w:style w:type="paragraph" w:customStyle="1" w:styleId="107">
    <w:name w:val="样式 77 10 磅"/>
    <w:pPr>
      <w:widowControl w:val="0"/>
      <w:jc w:val="both"/>
    </w:pPr>
    <w:rPr>
      <w:rFonts w:ascii="Calibri" w:eastAsia="宋体" w:cs="Calibri" w:hAnsi="Calibri"/>
      <w:kern w:val="2"/>
      <w:sz w:val="21"/>
      <w:szCs w:val="21"/>
      <w:lang w:val="en-US" w:eastAsia="zh-CN" w:bidi="ar-SA"/>
    </w:rPr>
  </w:style>
  <w:style w:type="paragraph" w:customStyle="1" w:styleId="108">
    <w:name w:val="样式 78 10 磅"/>
    <w:pPr>
      <w:widowControl w:val="0"/>
      <w:jc w:val="both"/>
    </w:pPr>
    <w:rPr>
      <w:rFonts w:ascii="Calibri" w:eastAsia="宋体" w:cs="Calibri" w:hAnsi="Calibri"/>
      <w:kern w:val="2"/>
      <w:sz w:val="21"/>
      <w:szCs w:val="21"/>
      <w:lang w:val="en-US" w:eastAsia="zh-CN" w:bidi="ar-SA"/>
    </w:rPr>
  </w:style>
  <w:style w:type="paragraph" w:customStyle="1" w:styleId="109">
    <w:name w:val="样式 79 10 磅"/>
    <w:pPr>
      <w:widowControl w:val="0"/>
      <w:jc w:val="both"/>
    </w:pPr>
    <w:rPr>
      <w:rFonts w:ascii="Calibri" w:eastAsia="宋体" w:cs="Calibri" w:hAnsi="Calibri"/>
      <w:kern w:val="2"/>
      <w:sz w:val="21"/>
      <w:szCs w:val="21"/>
      <w:lang w:val="en-US" w:eastAsia="zh-CN" w:bidi="ar-SA"/>
    </w:rPr>
  </w:style>
  <w:style w:type="paragraph" w:customStyle="1" w:styleId="110">
    <w:name w:val="样式 80 10 磅"/>
    <w:pPr>
      <w:widowControl w:val="0"/>
      <w:jc w:val="both"/>
    </w:pPr>
    <w:rPr>
      <w:rFonts w:ascii="Calibri" w:eastAsia="宋体" w:cs="Calibri" w:hAnsi="Calibri"/>
      <w:kern w:val="2"/>
      <w:sz w:val="21"/>
      <w:szCs w:val="21"/>
      <w:lang w:val="en-US" w:eastAsia="zh-CN" w:bidi="ar-SA"/>
    </w:rPr>
  </w:style>
  <w:style w:type="paragraph" w:customStyle="1" w:styleId="111">
    <w:name w:val="样式 81 10 磅"/>
    <w:pPr>
      <w:widowControl w:val="0"/>
      <w:jc w:val="both"/>
    </w:pPr>
    <w:rPr>
      <w:rFonts w:ascii="Calibri" w:eastAsia="宋体" w:cs="Calibri" w:hAnsi="Calibri"/>
      <w:kern w:val="2"/>
      <w:sz w:val="21"/>
      <w:szCs w:val="21"/>
      <w:lang w:val="en-US" w:eastAsia="zh-CN" w:bidi="ar-SA"/>
    </w:rPr>
  </w:style>
  <w:style w:type="paragraph" w:customStyle="1" w:styleId="112">
    <w:name w:val="样式 82 10 磅"/>
    <w:pPr>
      <w:widowControl w:val="0"/>
      <w:jc w:val="both"/>
    </w:pPr>
    <w:rPr>
      <w:rFonts w:ascii="Calibri" w:eastAsia="宋体" w:cs="Calibri" w:hAnsi="Calibri"/>
      <w:kern w:val="2"/>
      <w:sz w:val="21"/>
      <w:szCs w:val="21"/>
      <w:lang w:val="en-US" w:eastAsia="zh-CN" w:bidi="ar-SA"/>
    </w:rPr>
  </w:style>
  <w:style w:type="paragraph" w:customStyle="1" w:styleId="113">
    <w:name w:val="样式 83 10 磅"/>
    <w:pPr>
      <w:widowControl w:val="0"/>
      <w:jc w:val="both"/>
    </w:pPr>
    <w:rPr>
      <w:rFonts w:ascii="Calibri" w:eastAsia="宋体" w:cs="Calibri" w:hAnsi="Calibri"/>
      <w:kern w:val="2"/>
      <w:sz w:val="21"/>
      <w:szCs w:val="21"/>
      <w:lang w:val="en-US" w:eastAsia="zh-CN" w:bidi="ar-SA"/>
    </w:rPr>
  </w:style>
  <w:style w:type="paragraph" w:customStyle="1" w:styleId="114">
    <w:name w:val="样式 84 10 磅"/>
    <w:pPr>
      <w:widowControl w:val="0"/>
      <w:jc w:val="both"/>
    </w:pPr>
    <w:rPr>
      <w:rFonts w:ascii="Calibri" w:eastAsia="宋体" w:cs="Calibri" w:hAnsi="Calibri"/>
      <w:kern w:val="2"/>
      <w:sz w:val="21"/>
      <w:szCs w:val="21"/>
      <w:lang w:val="en-US" w:eastAsia="zh-CN" w:bidi="ar-SA"/>
    </w:rPr>
  </w:style>
  <w:style w:type="paragraph" w:customStyle="1" w:styleId="115">
    <w:name w:val="样式 85 10 磅"/>
    <w:pPr>
      <w:widowControl w:val="0"/>
      <w:jc w:val="both"/>
    </w:pPr>
    <w:rPr>
      <w:rFonts w:ascii="Calibri" w:eastAsia="宋体" w:cs="Calibri" w:hAnsi="Calibri"/>
      <w:kern w:val="2"/>
      <w:sz w:val="21"/>
      <w:szCs w:val="21"/>
      <w:lang w:val="en-US" w:eastAsia="zh-CN" w:bidi="ar-SA"/>
    </w:rPr>
  </w:style>
  <w:style w:type="paragraph" w:customStyle="1" w:styleId="116">
    <w:name w:val="样式 86 10 磅"/>
    <w:pPr>
      <w:widowControl w:val="0"/>
      <w:jc w:val="both"/>
    </w:pPr>
    <w:rPr>
      <w:rFonts w:ascii="Calibri" w:eastAsia="宋体" w:cs="Calibri" w:hAnsi="Calibri"/>
      <w:kern w:val="2"/>
      <w:sz w:val="21"/>
      <w:szCs w:val="21"/>
      <w:lang w:val="en-US" w:eastAsia="zh-CN" w:bidi="ar-SA"/>
    </w:rPr>
  </w:style>
  <w:style w:type="paragraph" w:customStyle="1" w:styleId="117">
    <w:name w:val="样式 87 10 磅"/>
    <w:pPr>
      <w:widowControl w:val="0"/>
      <w:jc w:val="both"/>
    </w:pPr>
    <w:rPr>
      <w:rFonts w:ascii="Calibri" w:eastAsia="宋体" w:cs="Calibri" w:hAnsi="Calibri"/>
      <w:kern w:val="2"/>
      <w:sz w:val="21"/>
      <w:szCs w:val="21"/>
      <w:lang w:val="en-US" w:eastAsia="zh-CN" w:bidi="ar-SA"/>
    </w:rPr>
  </w:style>
  <w:style w:type="paragraph" w:customStyle="1" w:styleId="118">
    <w:name w:val="样式 88 10 磅"/>
    <w:pPr>
      <w:widowControl w:val="0"/>
      <w:jc w:val="both"/>
    </w:pPr>
    <w:rPr>
      <w:rFonts w:ascii="Calibri" w:eastAsia="宋体" w:cs="Calibri" w:hAnsi="Calibri"/>
      <w:kern w:val="2"/>
      <w:sz w:val="21"/>
      <w:szCs w:val="21"/>
      <w:lang w:val="en-US" w:eastAsia="zh-CN" w:bidi="ar-SA"/>
    </w:rPr>
  </w:style>
  <w:style w:type="paragraph" w:customStyle="1" w:styleId="119">
    <w:name w:val="样式 89 10 磅"/>
    <w:pPr>
      <w:widowControl w:val="0"/>
      <w:jc w:val="both"/>
    </w:pPr>
    <w:rPr>
      <w:rFonts w:ascii="Calibri" w:eastAsia="宋体" w:cs="Calibri" w:hAnsi="Calibri"/>
      <w:kern w:val="2"/>
      <w:sz w:val="21"/>
      <w:szCs w:val="21"/>
      <w:lang w:val="en-US" w:eastAsia="zh-CN" w:bidi="ar-SA"/>
    </w:rPr>
  </w:style>
  <w:style w:type="paragraph" w:customStyle="1" w:styleId="120">
    <w:name w:val="样式 90 10 磅"/>
    <w:pPr>
      <w:widowControl w:val="0"/>
      <w:jc w:val="both"/>
    </w:pPr>
    <w:rPr>
      <w:rFonts w:ascii="Calibri" w:eastAsia="宋体" w:cs="Calibri" w:hAnsi="Calibri"/>
      <w:kern w:val="2"/>
      <w:sz w:val="21"/>
      <w:szCs w:val="21"/>
      <w:lang w:val="en-US" w:eastAsia="zh-CN" w:bidi="ar-SA"/>
    </w:rPr>
  </w:style>
  <w:style w:type="paragraph" w:customStyle="1" w:styleId="121">
    <w:name w:val="样式 91 10 磅"/>
    <w:pPr>
      <w:widowControl w:val="0"/>
      <w:jc w:val="both"/>
    </w:pPr>
    <w:rPr>
      <w:rFonts w:ascii="Calibri" w:eastAsia="宋体" w:cs="Calibri" w:hAnsi="Calibri"/>
      <w:kern w:val="2"/>
      <w:sz w:val="21"/>
      <w:szCs w:val="21"/>
      <w:lang w:val="en-US" w:eastAsia="zh-CN" w:bidi="ar-SA"/>
    </w:rPr>
  </w:style>
  <w:style w:type="paragraph" w:customStyle="1" w:styleId="122">
    <w:name w:val="样式 92 10 磅"/>
    <w:pPr>
      <w:widowControl w:val="0"/>
      <w:jc w:val="both"/>
    </w:pPr>
    <w:rPr>
      <w:rFonts w:ascii="Calibri" w:eastAsia="宋体" w:cs="Calibri" w:hAnsi="Calibri"/>
      <w:kern w:val="2"/>
      <w:sz w:val="21"/>
      <w:szCs w:val="21"/>
      <w:lang w:val="en-US" w:eastAsia="zh-CN" w:bidi="ar-SA"/>
    </w:rPr>
  </w:style>
  <w:style w:type="paragraph" w:customStyle="1" w:styleId="123">
    <w:name w:val="样式 93 10 磅"/>
    <w:pPr>
      <w:widowControl w:val="0"/>
      <w:jc w:val="both"/>
    </w:pPr>
    <w:rPr>
      <w:rFonts w:ascii="Calibri" w:eastAsia="宋体" w:cs="Calibri" w:hAnsi="Calibri"/>
      <w:kern w:val="2"/>
      <w:sz w:val="21"/>
      <w:szCs w:val="21"/>
      <w:lang w:val="en-US" w:eastAsia="zh-CN" w:bidi="ar-SA"/>
    </w:rPr>
  </w:style>
  <w:style w:type="paragraph" w:customStyle="1" w:styleId="124">
    <w:name w:val="样式 94 10 磅"/>
    <w:pPr>
      <w:widowControl w:val="0"/>
      <w:jc w:val="both"/>
    </w:pPr>
    <w:rPr>
      <w:rFonts w:ascii="Calibri" w:eastAsia="宋体" w:cs="Calibri" w:hAnsi="Calibri"/>
      <w:kern w:val="2"/>
      <w:sz w:val="21"/>
      <w:szCs w:val="21"/>
      <w:lang w:val="en-US" w:eastAsia="zh-CN" w:bidi="ar-SA"/>
    </w:rPr>
  </w:style>
  <w:style w:type="paragraph" w:customStyle="1" w:styleId="125">
    <w:name w:val="样式 95 10 磅"/>
    <w:pPr>
      <w:widowControl w:val="0"/>
      <w:jc w:val="both"/>
    </w:pPr>
    <w:rPr>
      <w:rFonts w:ascii="Calibri" w:eastAsia="宋体" w:cs="Calibri" w:hAnsi="Calibri"/>
      <w:kern w:val="2"/>
      <w:sz w:val="21"/>
      <w:szCs w:val="21"/>
      <w:lang w:val="en-US" w:eastAsia="zh-CN" w:bidi="ar-SA"/>
    </w:rPr>
  </w:style>
  <w:style w:type="paragraph" w:customStyle="1" w:styleId="126">
    <w:name w:val="样式 96 10 磅"/>
    <w:pPr>
      <w:widowControl w:val="0"/>
      <w:jc w:val="both"/>
    </w:pPr>
    <w:rPr>
      <w:rFonts w:ascii="Calibri" w:eastAsia="宋体" w:cs="Calibri" w:hAnsi="Calibri"/>
      <w:kern w:val="2"/>
      <w:sz w:val="21"/>
      <w:szCs w:val="21"/>
      <w:lang w:val="en-US" w:eastAsia="zh-CN" w:bidi="ar-SA"/>
    </w:rPr>
  </w:style>
  <w:style w:type="paragraph" w:customStyle="1" w:styleId="127">
    <w:name w:val="样式 97 10 磅"/>
    <w:pPr>
      <w:widowControl w:val="0"/>
      <w:jc w:val="both"/>
    </w:pPr>
    <w:rPr>
      <w:rFonts w:ascii="Calibri" w:eastAsia="宋体" w:cs="Calibri" w:hAnsi="Calibri"/>
      <w:kern w:val="2"/>
      <w:sz w:val="21"/>
      <w:szCs w:val="21"/>
      <w:lang w:val="en-US" w:eastAsia="zh-CN" w:bidi="ar-SA"/>
    </w:rPr>
  </w:style>
  <w:style w:type="paragraph" w:customStyle="1" w:styleId="128">
    <w:name w:val="样式 98 10 磅"/>
    <w:pPr>
      <w:widowControl w:val="0"/>
      <w:jc w:val="both"/>
    </w:pPr>
    <w:rPr>
      <w:rFonts w:ascii="Calibri" w:eastAsia="宋体" w:cs="Calibri" w:hAnsi="Calibri"/>
      <w:kern w:val="2"/>
      <w:sz w:val="21"/>
      <w:szCs w:val="21"/>
      <w:lang w:val="en-US" w:eastAsia="zh-CN" w:bidi="ar-SA"/>
    </w:rPr>
  </w:style>
  <w:style w:type="paragraph" w:customStyle="1" w:styleId="129">
    <w:name w:val="样式 99 10 磅"/>
    <w:pPr>
      <w:widowControl w:val="0"/>
      <w:jc w:val="both"/>
    </w:pPr>
    <w:rPr>
      <w:rFonts w:ascii="Calibri" w:eastAsia="宋体" w:cs="Calibri" w:hAnsi="Calibri"/>
      <w:kern w:val="2"/>
      <w:sz w:val="21"/>
      <w:szCs w:val="21"/>
      <w:lang w:val="en-US" w:eastAsia="zh-CN" w:bidi="ar-SA"/>
    </w:rPr>
  </w:style>
  <w:style w:type="paragraph" w:customStyle="1" w:styleId="130">
    <w:name w:val="样式 100 10 磅"/>
    <w:pPr>
      <w:widowControl w:val="0"/>
      <w:jc w:val="both"/>
    </w:pPr>
    <w:rPr>
      <w:rFonts w:ascii="Calibri" w:eastAsia="宋体" w:cs="Calibri" w:hAnsi="Calibri"/>
      <w:kern w:val="2"/>
      <w:sz w:val="21"/>
      <w:szCs w:val="21"/>
      <w:lang w:val="en-US" w:eastAsia="zh-CN" w:bidi="ar-SA"/>
    </w:rPr>
  </w:style>
  <w:style w:type="paragraph" w:customStyle="1" w:styleId="131">
    <w:name w:val="样式 101 10 磅"/>
    <w:pPr>
      <w:widowControl w:val="0"/>
      <w:jc w:val="both"/>
    </w:pPr>
    <w:rPr>
      <w:rFonts w:ascii="Calibri" w:eastAsia="宋体" w:cs="Calibri" w:hAnsi="Calibri"/>
      <w:kern w:val="2"/>
      <w:sz w:val="21"/>
      <w:szCs w:val="21"/>
      <w:lang w:val="en-US" w:eastAsia="zh-CN" w:bidi="ar-SA"/>
    </w:rPr>
  </w:style>
  <w:style w:type="paragraph" w:customStyle="1" w:styleId="132">
    <w:name w:val="样式 102 10 磅"/>
    <w:pPr>
      <w:widowControl w:val="0"/>
      <w:jc w:val="both"/>
    </w:pPr>
    <w:rPr>
      <w:rFonts w:ascii="Calibri" w:eastAsia="宋体" w:cs="Calibri" w:hAnsi="Calibri"/>
      <w:kern w:val="2"/>
      <w:sz w:val="21"/>
      <w:szCs w:val="21"/>
      <w:lang w:val="en-US" w:eastAsia="zh-CN" w:bidi="ar-SA"/>
    </w:rPr>
  </w:style>
  <w:style w:type="paragraph" w:customStyle="1" w:styleId="133">
    <w:name w:val="样式 103 10 磅"/>
    <w:pPr>
      <w:widowControl w:val="0"/>
      <w:jc w:val="both"/>
    </w:pPr>
    <w:rPr>
      <w:rFonts w:ascii="Calibri" w:eastAsia="宋体" w:cs="Calibri" w:hAnsi="Calibri"/>
      <w:kern w:val="2"/>
      <w:sz w:val="21"/>
      <w:szCs w:val="21"/>
      <w:lang w:val="en-US" w:eastAsia="zh-CN" w:bidi="ar-SA"/>
    </w:rPr>
  </w:style>
  <w:style w:type="paragraph" w:customStyle="1" w:styleId="134">
    <w:name w:val="样式 104 10 磅"/>
    <w:pPr>
      <w:widowControl w:val="0"/>
      <w:jc w:val="both"/>
    </w:pPr>
    <w:rPr>
      <w:rFonts w:ascii="Calibri" w:eastAsia="宋体" w:cs="Calibri" w:hAnsi="Calibri"/>
      <w:kern w:val="2"/>
      <w:sz w:val="21"/>
      <w:szCs w:val="21"/>
      <w:lang w:val="en-US" w:eastAsia="zh-CN" w:bidi="ar-SA"/>
    </w:rPr>
  </w:style>
  <w:style w:type="paragraph" w:customStyle="1" w:styleId="135">
    <w:name w:val="样式 105 10 磅"/>
    <w:pPr>
      <w:widowControl w:val="0"/>
      <w:jc w:val="both"/>
    </w:pPr>
    <w:rPr>
      <w:rFonts w:ascii="Calibri" w:eastAsia="宋体" w:cs="Calibri" w:hAnsi="Calibri"/>
      <w:kern w:val="2"/>
      <w:sz w:val="21"/>
      <w:szCs w:val="21"/>
      <w:lang w:val="en-US" w:eastAsia="zh-CN" w:bidi="ar-SA"/>
    </w:rPr>
  </w:style>
  <w:style w:type="paragraph" w:customStyle="1" w:styleId="136">
    <w:name w:val="样式 106 10 磅"/>
    <w:pPr>
      <w:widowControl w:val="0"/>
      <w:jc w:val="both"/>
    </w:pPr>
    <w:rPr>
      <w:rFonts w:ascii="Calibri" w:eastAsia="宋体" w:cs="Calibri" w:hAnsi="Calibri"/>
      <w:kern w:val="2"/>
      <w:sz w:val="21"/>
      <w:szCs w:val="21"/>
      <w:lang w:val="en-US" w:eastAsia="zh-CN" w:bidi="ar-SA"/>
    </w:rPr>
  </w:style>
  <w:style w:type="paragraph" w:customStyle="1" w:styleId="137">
    <w:name w:val="样式 107 10 磅"/>
    <w:pPr>
      <w:widowControl w:val="0"/>
      <w:jc w:val="both"/>
    </w:pPr>
    <w:rPr>
      <w:rFonts w:ascii="Calibri" w:eastAsia="宋体" w:cs="Calibri" w:hAnsi="Calibri"/>
      <w:kern w:val="2"/>
      <w:sz w:val="21"/>
      <w:szCs w:val="21"/>
      <w:lang w:val="en-US" w:eastAsia="zh-CN" w:bidi="ar-SA"/>
    </w:rPr>
  </w:style>
  <w:style w:type="paragraph" w:customStyle="1" w:styleId="138">
    <w:name w:val="样式 108 10 磅"/>
    <w:pPr>
      <w:widowControl w:val="0"/>
      <w:jc w:val="both"/>
    </w:pPr>
    <w:rPr>
      <w:rFonts w:ascii="Calibri" w:eastAsia="宋体" w:cs="Calibri" w:hAnsi="Calibri"/>
      <w:kern w:val="2"/>
      <w:sz w:val="21"/>
      <w:szCs w:val="21"/>
      <w:lang w:val="en-US" w:eastAsia="zh-CN" w:bidi="ar-SA"/>
    </w:rPr>
  </w:style>
  <w:style w:type="paragraph" w:customStyle="1" w:styleId="139">
    <w:name w:val="样式 109 10 磅"/>
    <w:pPr>
      <w:widowControl w:val="0"/>
      <w:jc w:val="both"/>
    </w:pPr>
    <w:rPr>
      <w:rFonts w:ascii="Calibri" w:eastAsia="宋体" w:cs="Calibri" w:hAnsi="Calibri"/>
      <w:kern w:val="2"/>
      <w:sz w:val="21"/>
      <w:szCs w:val="21"/>
      <w:lang w:val="en-US" w:eastAsia="zh-CN" w:bidi="ar-SA"/>
    </w:rPr>
  </w:style>
  <w:style w:type="paragraph" w:customStyle="1" w:styleId="140">
    <w:name w:val="样式 110 10 磅"/>
    <w:pPr>
      <w:widowControl w:val="0"/>
      <w:jc w:val="both"/>
    </w:pPr>
    <w:rPr>
      <w:rFonts w:ascii="Calibri" w:eastAsia="宋体" w:cs="Calibri" w:hAnsi="Calibri"/>
      <w:kern w:val="2"/>
      <w:sz w:val="21"/>
      <w:szCs w:val="21"/>
      <w:lang w:val="en-US" w:eastAsia="zh-CN" w:bidi="ar-SA"/>
    </w:rPr>
  </w:style>
  <w:style w:type="paragraph" w:customStyle="1" w:styleId="141">
    <w:name w:val="样式 111 10 磅"/>
    <w:pPr>
      <w:widowControl w:val="0"/>
      <w:jc w:val="both"/>
    </w:pPr>
    <w:rPr>
      <w:rFonts w:ascii="Calibri" w:eastAsia="宋体" w:cs="Calibri" w:hAnsi="Calibri"/>
      <w:kern w:val="2"/>
      <w:sz w:val="21"/>
      <w:szCs w:val="21"/>
      <w:lang w:val="en-US" w:eastAsia="zh-CN" w:bidi="ar-SA"/>
    </w:rPr>
  </w:style>
  <w:style w:type="paragraph" w:customStyle="1" w:styleId="142">
    <w:name w:val="样式 112 10 磅"/>
    <w:pPr>
      <w:widowControl w:val="0"/>
      <w:jc w:val="both"/>
    </w:pPr>
    <w:rPr>
      <w:rFonts w:ascii="Calibri" w:eastAsia="宋体" w:cs="Calibri" w:hAnsi="Calibri"/>
      <w:kern w:val="2"/>
      <w:sz w:val="21"/>
      <w:szCs w:val="21"/>
      <w:lang w:val="en-US" w:eastAsia="zh-CN" w:bidi="ar-SA"/>
    </w:rPr>
  </w:style>
  <w:style w:type="paragraph" w:customStyle="1" w:styleId="143">
    <w:name w:val="样式 113 10 磅"/>
    <w:pPr>
      <w:widowControl w:val="0"/>
      <w:jc w:val="both"/>
    </w:pPr>
    <w:rPr>
      <w:rFonts w:ascii="Calibri" w:eastAsia="宋体" w:cs="Calibri" w:hAnsi="Calibri"/>
      <w:kern w:val="2"/>
      <w:sz w:val="21"/>
      <w:szCs w:val="21"/>
      <w:lang w:val="en-US" w:eastAsia="zh-CN" w:bidi="ar-SA"/>
    </w:rPr>
  </w:style>
  <w:style w:type="paragraph" w:customStyle="1" w:styleId="144">
    <w:name w:val="样式 114 10 磅"/>
    <w:pPr>
      <w:widowControl w:val="0"/>
      <w:jc w:val="both"/>
    </w:pPr>
    <w:rPr>
      <w:rFonts w:ascii="Calibri" w:eastAsia="宋体" w:cs="Calibri" w:hAnsi="Calibri"/>
      <w:kern w:val="2"/>
      <w:sz w:val="21"/>
      <w:szCs w:val="21"/>
      <w:lang w:val="en-US" w:eastAsia="zh-CN" w:bidi="ar-SA"/>
    </w:rPr>
  </w:style>
  <w:style w:type="paragraph" w:customStyle="1" w:styleId="145">
    <w:name w:val="样式 115 10 磅"/>
    <w:pPr>
      <w:widowControl w:val="0"/>
      <w:jc w:val="both"/>
    </w:pPr>
    <w:rPr>
      <w:rFonts w:ascii="Calibri" w:eastAsia="宋体" w:cs="Calibri" w:hAnsi="Calibri"/>
      <w:kern w:val="2"/>
      <w:sz w:val="21"/>
      <w:szCs w:val="21"/>
      <w:lang w:val="en-US" w:eastAsia="zh-CN" w:bidi="ar-SA"/>
    </w:rPr>
  </w:style>
  <w:style w:type="paragraph" w:customStyle="1" w:styleId="146">
    <w:name w:val="样式 116 10 磅"/>
    <w:pPr>
      <w:widowControl w:val="0"/>
      <w:jc w:val="both"/>
    </w:pPr>
    <w:rPr>
      <w:rFonts w:ascii="Calibri" w:eastAsia="宋体" w:cs="Calibri" w:hAnsi="Calibri"/>
      <w:kern w:val="2"/>
      <w:sz w:val="21"/>
      <w:szCs w:val="21"/>
      <w:lang w:val="en-US" w:eastAsia="zh-CN" w:bidi="ar-SA"/>
    </w:rPr>
  </w:style>
  <w:style w:type="paragraph" w:customStyle="1" w:styleId="147">
    <w:name w:val="样式 117 10 磅"/>
    <w:pPr>
      <w:widowControl w:val="0"/>
      <w:jc w:val="both"/>
    </w:pPr>
    <w:rPr>
      <w:rFonts w:ascii="Calibri" w:eastAsia="宋体" w:cs="Calibri" w:hAnsi="Calibri"/>
      <w:kern w:val="2"/>
      <w:sz w:val="21"/>
      <w:szCs w:val="21"/>
      <w:lang w:val="en-US" w:eastAsia="zh-CN" w:bidi="ar-SA"/>
    </w:rPr>
  </w:style>
  <w:style w:type="paragraph" w:customStyle="1" w:styleId="148">
    <w:name w:val="样式 118 10 磅"/>
    <w:pPr>
      <w:widowControl w:val="0"/>
      <w:jc w:val="both"/>
    </w:pPr>
    <w:rPr>
      <w:rFonts w:ascii="Calibri" w:eastAsia="宋体" w:cs="Calibri" w:hAnsi="Calibri"/>
      <w:kern w:val="2"/>
      <w:sz w:val="21"/>
      <w:szCs w:val="21"/>
      <w:lang w:val="en-US" w:eastAsia="zh-CN" w:bidi="ar-SA"/>
    </w:rPr>
  </w:style>
  <w:style w:type="paragraph" w:customStyle="1" w:styleId="149">
    <w:name w:val="样式 119 10 磅"/>
    <w:pPr>
      <w:widowControl w:val="0"/>
      <w:jc w:val="both"/>
    </w:pPr>
    <w:rPr>
      <w:rFonts w:ascii="Calibri" w:eastAsia="宋体" w:cs="Calibri" w:hAnsi="Calibri"/>
      <w:kern w:val="2"/>
      <w:sz w:val="21"/>
      <w:szCs w:val="21"/>
      <w:lang w:val="en-US" w:eastAsia="zh-CN" w:bidi="ar-SA"/>
    </w:rPr>
  </w:style>
  <w:style w:type="paragraph" w:customStyle="1" w:styleId="150">
    <w:name w:val="样式 120 10 磅"/>
    <w:pPr>
      <w:widowControl w:val="0"/>
      <w:jc w:val="both"/>
    </w:pPr>
    <w:rPr>
      <w:rFonts w:ascii="Calibri" w:eastAsia="宋体" w:cs="Calibri" w:hAnsi="Calibri"/>
      <w:kern w:val="2"/>
      <w:sz w:val="21"/>
      <w:szCs w:val="21"/>
      <w:lang w:val="en-US" w:eastAsia="zh-CN" w:bidi="ar-SA"/>
    </w:rPr>
  </w:style>
  <w:style w:type="paragraph" w:customStyle="1" w:styleId="151">
    <w:name w:val="样式 121 10 磅"/>
    <w:pPr>
      <w:widowControl w:val="0"/>
      <w:jc w:val="both"/>
    </w:pPr>
    <w:rPr>
      <w:rFonts w:ascii="Calibri" w:eastAsia="宋体" w:cs="Calibri" w:hAnsi="Calibri"/>
      <w:kern w:val="2"/>
      <w:sz w:val="21"/>
      <w:szCs w:val="21"/>
      <w:lang w:val="en-US" w:eastAsia="zh-CN" w:bidi="ar-SA"/>
    </w:rPr>
  </w:style>
  <w:style w:type="paragraph" w:customStyle="1" w:styleId="152">
    <w:name w:val="样式 122 10 磅"/>
    <w:pPr>
      <w:widowControl w:val="0"/>
      <w:jc w:val="both"/>
    </w:pPr>
    <w:rPr>
      <w:rFonts w:ascii="Calibri" w:eastAsia="宋体" w:cs="Calibri" w:hAnsi="Calibri"/>
      <w:kern w:val="2"/>
      <w:sz w:val="21"/>
      <w:szCs w:val="21"/>
      <w:lang w:val="en-US" w:eastAsia="zh-CN" w:bidi="ar-SA"/>
    </w:rPr>
  </w:style>
  <w:style w:type="paragraph" w:customStyle="1" w:styleId="153">
    <w:name w:val="样式 123 10 磅"/>
    <w:pPr>
      <w:widowControl w:val="0"/>
      <w:jc w:val="both"/>
    </w:pPr>
    <w:rPr>
      <w:rFonts w:ascii="Calibri" w:eastAsia="宋体" w:cs="Calibri" w:hAnsi="Calibri"/>
      <w:kern w:val="2"/>
      <w:sz w:val="21"/>
      <w:szCs w:val="21"/>
      <w:lang w:val="en-US" w:eastAsia="zh-CN" w:bidi="ar-SA"/>
    </w:rPr>
  </w:style>
  <w:style w:type="paragraph" w:customStyle="1" w:styleId="154">
    <w:name w:val="样式 124 10 磅"/>
    <w:pPr>
      <w:widowControl w:val="0"/>
      <w:jc w:val="both"/>
    </w:pPr>
    <w:rPr>
      <w:rFonts w:ascii="Calibri" w:eastAsia="宋体" w:cs="Calibri" w:hAnsi="Calibri"/>
      <w:kern w:val="2"/>
      <w:sz w:val="21"/>
      <w:szCs w:val="21"/>
      <w:lang w:val="en-US" w:eastAsia="zh-CN" w:bidi="ar-SA"/>
    </w:rPr>
  </w:style>
  <w:style w:type="paragraph" w:customStyle="1" w:styleId="155">
    <w:name w:val="样式 125 10 磅"/>
    <w:pPr>
      <w:widowControl w:val="0"/>
      <w:jc w:val="both"/>
    </w:pPr>
    <w:rPr>
      <w:rFonts w:ascii="Calibri" w:eastAsia="宋体" w:cs="Calibri" w:hAnsi="Calibri"/>
      <w:kern w:val="2"/>
      <w:sz w:val="21"/>
      <w:szCs w:val="21"/>
      <w:lang w:val="en-US" w:eastAsia="zh-CN" w:bidi="ar-SA"/>
    </w:rPr>
  </w:style>
  <w:style w:type="paragraph" w:customStyle="1" w:styleId="156">
    <w:name w:val="样式 126 10 磅"/>
    <w:pPr>
      <w:widowControl w:val="0"/>
      <w:jc w:val="both"/>
    </w:pPr>
    <w:rPr>
      <w:rFonts w:ascii="Calibri" w:eastAsia="宋体" w:cs="Calibri" w:hAnsi="Calibri"/>
      <w:kern w:val="2"/>
      <w:sz w:val="21"/>
      <w:szCs w:val="21"/>
      <w:lang w:val="en-US" w:eastAsia="zh-CN" w:bidi="ar-SA"/>
    </w:rPr>
  </w:style>
  <w:style w:type="paragraph" w:customStyle="1" w:styleId="157">
    <w:name w:val="样式 127 10 磅"/>
    <w:pPr>
      <w:widowControl w:val="0"/>
      <w:jc w:val="both"/>
    </w:pPr>
    <w:rPr>
      <w:rFonts w:ascii="Calibri" w:eastAsia="宋体" w:cs="Calibri" w:hAnsi="Calibri"/>
      <w:kern w:val="2"/>
      <w:sz w:val="21"/>
      <w:szCs w:val="21"/>
      <w:lang w:val="en-US" w:eastAsia="zh-CN" w:bidi="ar-SA"/>
    </w:rPr>
  </w:style>
  <w:style w:type="paragraph" w:customStyle="1" w:styleId="158">
    <w:name w:val="样式 128 10 磅"/>
    <w:pPr>
      <w:widowControl w:val="0"/>
      <w:jc w:val="both"/>
    </w:pPr>
    <w:rPr>
      <w:rFonts w:ascii="Calibri" w:eastAsia="宋体" w:cs="Calibri" w:hAnsi="Calibri"/>
      <w:kern w:val="2"/>
      <w:sz w:val="21"/>
      <w:szCs w:val="21"/>
      <w:lang w:val="en-US" w:eastAsia="zh-CN" w:bidi="ar-SA"/>
    </w:rPr>
  </w:style>
  <w:style w:type="paragraph" w:customStyle="1" w:styleId="159">
    <w:name w:val="样式 129 10 磅"/>
    <w:pPr>
      <w:widowControl w:val="0"/>
      <w:jc w:val="both"/>
    </w:pPr>
    <w:rPr>
      <w:rFonts w:ascii="Calibri" w:eastAsia="宋体" w:cs="Calibri" w:hAnsi="Calibri"/>
      <w:kern w:val="2"/>
      <w:sz w:val="21"/>
      <w:szCs w:val="21"/>
      <w:lang w:val="en-US" w:eastAsia="zh-CN" w:bidi="ar-SA"/>
    </w:rPr>
  </w:style>
  <w:style w:type="paragraph" w:customStyle="1" w:styleId="160">
    <w:name w:val="样式 130 10 磅"/>
    <w:pPr>
      <w:widowControl w:val="0"/>
      <w:jc w:val="both"/>
    </w:pPr>
    <w:rPr>
      <w:rFonts w:ascii="Calibri" w:eastAsia="宋体" w:cs="Calibri" w:hAnsi="Calibri"/>
      <w:kern w:val="2"/>
      <w:sz w:val="21"/>
      <w:szCs w:val="21"/>
      <w:lang w:val="en-US" w:eastAsia="zh-CN" w:bidi="ar-SA"/>
    </w:rPr>
  </w:style>
  <w:style w:type="paragraph" w:customStyle="1" w:styleId="161">
    <w:name w:val="样式 131 10 磅"/>
    <w:pPr>
      <w:widowControl w:val="0"/>
      <w:jc w:val="both"/>
    </w:pPr>
    <w:rPr>
      <w:rFonts w:ascii="Calibri" w:eastAsia="宋体" w:cs="Calibri" w:hAnsi="Calibri"/>
      <w:kern w:val="2"/>
      <w:sz w:val="21"/>
      <w:szCs w:val="21"/>
      <w:lang w:val="en-US" w:eastAsia="zh-CN" w:bidi="ar-SA"/>
    </w:rPr>
  </w:style>
  <w:style w:type="paragraph" w:customStyle="1" w:styleId="162">
    <w:name w:val="样式 132 10 磅"/>
    <w:pPr>
      <w:widowControl w:val="0"/>
      <w:jc w:val="both"/>
    </w:pPr>
    <w:rPr>
      <w:rFonts w:ascii="Calibri" w:eastAsia="宋体" w:cs="Calibri" w:hAnsi="Calibri"/>
      <w:kern w:val="2"/>
      <w:sz w:val="21"/>
      <w:szCs w:val="21"/>
      <w:lang w:val="en-US" w:eastAsia="zh-CN" w:bidi="ar-SA"/>
    </w:rPr>
  </w:style>
  <w:style w:type="paragraph" w:customStyle="1" w:styleId="163">
    <w:name w:val="样式 133 10 磅"/>
    <w:pPr>
      <w:widowControl w:val="0"/>
      <w:jc w:val="both"/>
    </w:pPr>
    <w:rPr>
      <w:rFonts w:ascii="Calibri" w:eastAsia="宋体" w:cs="Calibri" w:hAnsi="Calibri"/>
      <w:kern w:val="2"/>
      <w:sz w:val="21"/>
      <w:szCs w:val="21"/>
      <w:lang w:val="en-US" w:eastAsia="zh-CN" w:bidi="ar-SA"/>
    </w:rPr>
  </w:style>
  <w:style w:type="paragraph" w:customStyle="1" w:styleId="164">
    <w:name w:val="样式 134 10 磅"/>
    <w:pPr>
      <w:widowControl w:val="0"/>
      <w:jc w:val="both"/>
    </w:pPr>
    <w:rPr>
      <w:rFonts w:ascii="Calibri" w:eastAsia="宋体" w:cs="Calibri" w:hAnsi="Calibri"/>
      <w:kern w:val="2"/>
      <w:sz w:val="21"/>
      <w:szCs w:val="21"/>
      <w:lang w:val="en-US" w:eastAsia="zh-CN" w:bidi="ar-SA"/>
    </w:rPr>
  </w:style>
  <w:style w:type="paragraph" w:customStyle="1" w:styleId="165">
    <w:name w:val="样式 135 10 磅"/>
    <w:pPr>
      <w:widowControl w:val="0"/>
      <w:jc w:val="both"/>
    </w:pPr>
    <w:rPr>
      <w:rFonts w:ascii="Calibri" w:eastAsia="宋体" w:cs="Calibri" w:hAnsi="Calibri"/>
      <w:kern w:val="2"/>
      <w:sz w:val="21"/>
      <w:szCs w:val="21"/>
      <w:lang w:val="en-US" w:eastAsia="zh-CN" w:bidi="ar-SA"/>
    </w:rPr>
  </w:style>
  <w:style w:type="paragraph" w:customStyle="1" w:styleId="166">
    <w:name w:val="样式 136 10 磅"/>
    <w:pPr>
      <w:widowControl w:val="0"/>
      <w:jc w:val="both"/>
    </w:pPr>
    <w:rPr>
      <w:rFonts w:ascii="Calibri" w:eastAsia="宋体" w:cs="Calibri" w:hAnsi="Calibri"/>
      <w:kern w:val="2"/>
      <w:sz w:val="21"/>
      <w:szCs w:val="21"/>
      <w:lang w:val="en-US" w:eastAsia="zh-CN" w:bidi="ar-SA"/>
    </w:rPr>
  </w:style>
  <w:style w:type="paragraph" w:customStyle="1" w:styleId="167">
    <w:name w:val="样式 137 10 磅"/>
    <w:pPr>
      <w:widowControl w:val="0"/>
      <w:jc w:val="both"/>
    </w:pPr>
    <w:rPr>
      <w:rFonts w:ascii="Calibri" w:eastAsia="宋体" w:cs="Calibri" w:hAnsi="Calibri"/>
      <w:kern w:val="2"/>
      <w:sz w:val="21"/>
      <w:szCs w:val="21"/>
      <w:lang w:val="en-US" w:eastAsia="zh-CN" w:bidi="ar-SA"/>
    </w:rPr>
  </w:style>
  <w:style w:type="paragraph" w:customStyle="1" w:styleId="168">
    <w:name w:val="样式 138 10 磅"/>
    <w:pPr>
      <w:widowControl w:val="0"/>
      <w:jc w:val="both"/>
    </w:pPr>
    <w:rPr>
      <w:rFonts w:ascii="Calibri" w:eastAsia="宋体" w:cs="Calibri" w:hAnsi="Calibri"/>
      <w:kern w:val="2"/>
      <w:sz w:val="21"/>
      <w:szCs w:val="21"/>
      <w:lang w:val="en-US" w:eastAsia="zh-CN" w:bidi="ar-SA"/>
    </w:rPr>
  </w:style>
  <w:style w:type="paragraph" w:customStyle="1" w:styleId="169">
    <w:name w:val="样式 139 10 磅"/>
    <w:pPr>
      <w:widowControl w:val="0"/>
      <w:jc w:val="both"/>
    </w:pPr>
    <w:rPr>
      <w:rFonts w:ascii="Calibri" w:eastAsia="宋体" w:cs="Calibri" w:hAnsi="Calibri"/>
      <w:kern w:val="2"/>
      <w:sz w:val="21"/>
      <w:szCs w:val="21"/>
      <w:lang w:val="en-US" w:eastAsia="zh-CN" w:bidi="ar-SA"/>
    </w:rPr>
  </w:style>
  <w:style w:type="paragraph" w:customStyle="1" w:styleId="170">
    <w:name w:val="样式 140 10 磅"/>
    <w:pPr>
      <w:widowControl w:val="0"/>
      <w:jc w:val="both"/>
    </w:pPr>
    <w:rPr>
      <w:rFonts w:ascii="Calibri" w:eastAsia="宋体" w:cs="Calibri" w:hAnsi="Calibri"/>
      <w:kern w:val="2"/>
      <w:sz w:val="21"/>
      <w:szCs w:val="21"/>
      <w:lang w:val="en-US" w:eastAsia="zh-CN" w:bidi="ar-SA"/>
    </w:rPr>
  </w:style>
  <w:style w:type="paragraph" w:customStyle="1" w:styleId="171">
    <w:name w:val="样式 141 10 磅"/>
    <w:pPr>
      <w:widowControl w:val="0"/>
      <w:jc w:val="both"/>
    </w:pPr>
    <w:rPr>
      <w:rFonts w:ascii="Calibri" w:eastAsia="宋体" w:cs="Calibri" w:hAnsi="Calibri"/>
      <w:kern w:val="2"/>
      <w:sz w:val="21"/>
      <w:szCs w:val="21"/>
      <w:lang w:val="en-US" w:eastAsia="zh-CN" w:bidi="ar-SA"/>
    </w:rPr>
  </w:style>
  <w:style w:type="paragraph" w:customStyle="1" w:styleId="172">
    <w:name w:val="样式 142 10 磅"/>
    <w:pPr>
      <w:widowControl w:val="0"/>
      <w:jc w:val="both"/>
    </w:pPr>
    <w:rPr>
      <w:rFonts w:ascii="Calibri" w:eastAsia="宋体" w:cs="Calibri" w:hAnsi="Calibri"/>
      <w:kern w:val="2"/>
      <w:sz w:val="21"/>
      <w:szCs w:val="21"/>
      <w:lang w:val="en-US" w:eastAsia="zh-CN" w:bidi="ar-SA"/>
    </w:rPr>
  </w:style>
  <w:style w:type="paragraph" w:customStyle="1" w:styleId="173">
    <w:name w:val="样式 143 10 磅"/>
    <w:pPr>
      <w:widowControl w:val="0"/>
      <w:jc w:val="both"/>
    </w:pPr>
    <w:rPr>
      <w:rFonts w:ascii="Calibri" w:eastAsia="宋体" w:cs="Calibri" w:hAnsi="Calibri"/>
      <w:kern w:val="2"/>
      <w:sz w:val="21"/>
      <w:szCs w:val="21"/>
      <w:lang w:val="en-US" w:eastAsia="zh-CN" w:bidi="ar-SA"/>
    </w:rPr>
  </w:style>
  <w:style w:type="paragraph" w:customStyle="1" w:styleId="174">
    <w:name w:val="样式 144 10 磅"/>
    <w:pPr>
      <w:widowControl w:val="0"/>
      <w:jc w:val="both"/>
    </w:pPr>
    <w:rPr>
      <w:rFonts w:ascii="Calibri" w:eastAsia="宋体" w:cs="Calibri" w:hAnsi="Calibri"/>
      <w:kern w:val="2"/>
      <w:sz w:val="21"/>
      <w:szCs w:val="21"/>
      <w:lang w:val="en-US" w:eastAsia="zh-CN" w:bidi="ar-SA"/>
    </w:rPr>
  </w:style>
  <w:style w:type="paragraph" w:customStyle="1" w:styleId="175">
    <w:name w:val="样式 145 10 磅"/>
    <w:pPr>
      <w:widowControl w:val="0"/>
      <w:jc w:val="both"/>
    </w:pPr>
    <w:rPr>
      <w:rFonts w:ascii="Calibri" w:eastAsia="宋体" w:cs="Calibri" w:hAnsi="Calibri"/>
      <w:kern w:val="2"/>
      <w:sz w:val="21"/>
      <w:szCs w:val="21"/>
      <w:lang w:val="en-US" w:eastAsia="zh-CN" w:bidi="ar-SA"/>
    </w:rPr>
  </w:style>
  <w:style w:type="paragraph" w:customStyle="1" w:styleId="176">
    <w:name w:val="样式 146 10 磅"/>
    <w:pPr>
      <w:widowControl w:val="0"/>
      <w:jc w:val="both"/>
    </w:pPr>
    <w:rPr>
      <w:rFonts w:ascii="Calibri" w:eastAsia="宋体" w:cs="Calibri" w:hAnsi="Calibri"/>
      <w:kern w:val="2"/>
      <w:sz w:val="21"/>
      <w:szCs w:val="21"/>
      <w:lang w:val="en-US" w:eastAsia="zh-CN" w:bidi="ar-SA"/>
    </w:rPr>
  </w:style>
  <w:style w:type="paragraph" w:customStyle="1" w:styleId="177">
    <w:name w:val="样式 147 10 磅"/>
    <w:pPr>
      <w:widowControl w:val="0"/>
      <w:jc w:val="both"/>
    </w:pPr>
    <w:rPr>
      <w:rFonts w:ascii="Calibri" w:eastAsia="宋体" w:cs="Calibri" w:hAnsi="Calibri"/>
      <w:kern w:val="2"/>
      <w:sz w:val="21"/>
      <w:szCs w:val="21"/>
      <w:lang w:val="en-US" w:eastAsia="zh-CN" w:bidi="ar-SA"/>
    </w:rPr>
  </w:style>
  <w:style w:type="paragraph" w:customStyle="1" w:styleId="178">
    <w:name w:val="样式 148 10 磅"/>
    <w:pPr>
      <w:widowControl w:val="0"/>
      <w:jc w:val="both"/>
    </w:pPr>
    <w:rPr>
      <w:rFonts w:ascii="Calibri" w:eastAsia="宋体" w:cs="Calibri" w:hAnsi="Calibri"/>
      <w:kern w:val="2"/>
      <w:sz w:val="21"/>
      <w:szCs w:val="21"/>
      <w:lang w:val="en-US" w:eastAsia="zh-CN" w:bidi="ar-SA"/>
    </w:rPr>
  </w:style>
  <w:style w:type="paragraph" w:customStyle="1" w:styleId="179">
    <w:name w:val="样式 149 10 磅"/>
    <w:pPr>
      <w:widowControl w:val="0"/>
      <w:jc w:val="both"/>
    </w:pPr>
    <w:rPr>
      <w:rFonts w:ascii="Calibri" w:eastAsia="宋体" w:cs="Calibri" w:hAnsi="Calibri"/>
      <w:kern w:val="2"/>
      <w:sz w:val="21"/>
      <w:szCs w:val="21"/>
      <w:lang w:val="en-US" w:eastAsia="zh-CN" w:bidi="ar-SA"/>
    </w:rPr>
  </w:style>
  <w:style w:type="paragraph" w:customStyle="1" w:styleId="180">
    <w:name w:val="样式 150 10 磅"/>
    <w:pPr>
      <w:widowControl w:val="0"/>
      <w:jc w:val="both"/>
    </w:pPr>
    <w:rPr>
      <w:rFonts w:ascii="Calibri" w:eastAsia="宋体" w:cs="Calibri" w:hAnsi="Calibri"/>
      <w:kern w:val="2"/>
      <w:sz w:val="21"/>
      <w:szCs w:val="21"/>
      <w:lang w:val="en-US" w:eastAsia="zh-CN" w:bidi="ar-SA"/>
    </w:rPr>
  </w:style>
  <w:style w:type="paragraph" w:customStyle="1" w:styleId="181">
    <w:name w:val="样式 151 10 磅"/>
    <w:pPr>
      <w:widowControl w:val="0"/>
      <w:jc w:val="both"/>
    </w:pPr>
    <w:rPr>
      <w:rFonts w:ascii="Calibri" w:eastAsia="宋体" w:cs="Calibri" w:hAnsi="Calibri"/>
      <w:kern w:val="2"/>
      <w:sz w:val="21"/>
      <w:szCs w:val="21"/>
      <w:lang w:val="en-US" w:eastAsia="zh-CN" w:bidi="ar-SA"/>
    </w:rPr>
  </w:style>
  <w:style w:type="paragraph" w:customStyle="1" w:styleId="182">
    <w:name w:val="样式 152 10 磅"/>
    <w:pPr>
      <w:widowControl w:val="0"/>
      <w:jc w:val="both"/>
    </w:pPr>
    <w:rPr>
      <w:rFonts w:ascii="Calibri" w:eastAsia="宋体" w:cs="Calibri" w:hAnsi="Calibri"/>
      <w:kern w:val="2"/>
      <w:sz w:val="21"/>
      <w:szCs w:val="21"/>
      <w:lang w:val="en-US" w:eastAsia="zh-CN" w:bidi="ar-SA"/>
    </w:rPr>
  </w:style>
  <w:style w:type="paragraph" w:customStyle="1" w:styleId="183">
    <w:name w:val="样式 153 10 磅"/>
    <w:pPr>
      <w:widowControl w:val="0"/>
      <w:jc w:val="both"/>
    </w:pPr>
    <w:rPr>
      <w:rFonts w:ascii="Calibri" w:eastAsia="宋体" w:cs="Calibri" w:hAnsi="Calibri"/>
      <w:kern w:val="2"/>
      <w:sz w:val="21"/>
      <w:szCs w:val="21"/>
      <w:lang w:val="en-US" w:eastAsia="zh-CN" w:bidi="ar-SA"/>
    </w:rPr>
  </w:style>
  <w:style w:type="paragraph" w:customStyle="1" w:styleId="184">
    <w:name w:val="样式 154 10 磅"/>
    <w:pPr>
      <w:widowControl w:val="0"/>
      <w:jc w:val="both"/>
    </w:pPr>
    <w:rPr>
      <w:rFonts w:ascii="Calibri" w:eastAsia="宋体" w:cs="Calibri" w:hAnsi="Calibri"/>
      <w:kern w:val="2"/>
      <w:sz w:val="21"/>
      <w:szCs w:val="21"/>
      <w:lang w:val="en-US" w:eastAsia="zh-CN" w:bidi="ar-SA"/>
    </w:rPr>
  </w:style>
  <w:style w:type="paragraph" w:customStyle="1" w:styleId="185">
    <w:name w:val="样式 155 10 磅"/>
    <w:pPr>
      <w:widowControl w:val="0"/>
      <w:jc w:val="both"/>
    </w:pPr>
    <w:rPr>
      <w:rFonts w:ascii="Calibri" w:eastAsia="宋体" w:cs="Calibri" w:hAnsi="Calibri"/>
      <w:kern w:val="2"/>
      <w:sz w:val="21"/>
      <w:szCs w:val="21"/>
      <w:lang w:val="en-US" w:eastAsia="zh-CN" w:bidi="ar-SA"/>
    </w:rPr>
  </w:style>
  <w:style w:type="paragraph" w:customStyle="1" w:styleId="186">
    <w:name w:val="样式 156 10 磅"/>
    <w:pPr>
      <w:widowControl w:val="0"/>
      <w:jc w:val="both"/>
    </w:pPr>
    <w:rPr>
      <w:rFonts w:ascii="Calibri" w:eastAsia="宋体" w:cs="Calibri" w:hAnsi="Calibri"/>
      <w:kern w:val="2"/>
      <w:sz w:val="21"/>
      <w:szCs w:val="21"/>
      <w:lang w:val="en-US" w:eastAsia="zh-CN" w:bidi="ar-SA"/>
    </w:rPr>
  </w:style>
  <w:style w:type="paragraph" w:customStyle="1" w:styleId="187">
    <w:name w:val="样式 157 10 磅"/>
    <w:pPr>
      <w:widowControl w:val="0"/>
      <w:jc w:val="both"/>
    </w:pPr>
    <w:rPr>
      <w:rFonts w:ascii="Calibri" w:eastAsia="宋体" w:cs="Calibri" w:hAnsi="Calibri"/>
      <w:kern w:val="2"/>
      <w:sz w:val="21"/>
      <w:szCs w:val="21"/>
      <w:lang w:val="en-US" w:eastAsia="zh-CN" w:bidi="ar-SA"/>
    </w:rPr>
  </w:style>
  <w:style w:type="paragraph" w:customStyle="1" w:styleId="188">
    <w:name w:val="样式 158 10 磅"/>
    <w:pPr>
      <w:widowControl w:val="0"/>
      <w:jc w:val="both"/>
    </w:pPr>
    <w:rPr>
      <w:rFonts w:ascii="Calibri" w:eastAsia="宋体" w:cs="Calibri" w:hAnsi="Calibri"/>
      <w:kern w:val="2"/>
      <w:sz w:val="21"/>
      <w:szCs w:val="21"/>
      <w:lang w:val="en-US" w:eastAsia="zh-CN" w:bidi="ar-SA"/>
    </w:rPr>
  </w:style>
  <w:style w:type="paragraph" w:customStyle="1" w:styleId="189">
    <w:name w:val="样式 159 10 磅"/>
    <w:pPr>
      <w:widowControl w:val="0"/>
      <w:jc w:val="both"/>
    </w:pPr>
    <w:rPr>
      <w:rFonts w:ascii="Calibri" w:eastAsia="宋体" w:cs="Calibri" w:hAnsi="Calibri"/>
      <w:kern w:val="2"/>
      <w:sz w:val="21"/>
      <w:szCs w:val="21"/>
      <w:lang w:val="en-US" w:eastAsia="zh-CN" w:bidi="ar-SA"/>
    </w:rPr>
  </w:style>
  <w:style w:type="paragraph" w:customStyle="1" w:styleId="190">
    <w:name w:val="样式 160 10 磅"/>
    <w:pPr>
      <w:widowControl w:val="0"/>
      <w:jc w:val="both"/>
    </w:pPr>
    <w:rPr>
      <w:rFonts w:ascii="Calibri" w:eastAsia="宋体" w:cs="Calibri" w:hAnsi="Calibri"/>
      <w:kern w:val="2"/>
      <w:sz w:val="21"/>
      <w:szCs w:val="21"/>
      <w:lang w:val="en-US" w:eastAsia="zh-CN" w:bidi="ar-SA"/>
    </w:rPr>
  </w:style>
  <w:style w:type="paragraph" w:customStyle="1" w:styleId="191">
    <w:name w:val="样式 161 10 磅"/>
    <w:pPr>
      <w:widowControl w:val="0"/>
      <w:jc w:val="both"/>
    </w:pPr>
    <w:rPr>
      <w:rFonts w:ascii="Calibri" w:eastAsia="宋体" w:cs="Calibri" w:hAnsi="Calibri"/>
      <w:kern w:val="2"/>
      <w:sz w:val="21"/>
      <w:szCs w:val="21"/>
      <w:lang w:val="en-US" w:eastAsia="zh-CN" w:bidi="ar-SA"/>
    </w:rPr>
  </w:style>
  <w:style w:type="paragraph" w:customStyle="1" w:styleId="192">
    <w:name w:val="样式 162 10 磅"/>
    <w:pPr>
      <w:widowControl w:val="0"/>
      <w:jc w:val="both"/>
    </w:pPr>
    <w:rPr>
      <w:rFonts w:ascii="Calibri" w:eastAsia="宋体" w:cs="Calibri" w:hAnsi="Calibri"/>
      <w:kern w:val="2"/>
      <w:sz w:val="21"/>
      <w:szCs w:val="21"/>
      <w:lang w:val="en-US" w:eastAsia="zh-CN" w:bidi="ar-SA"/>
    </w:rPr>
  </w:style>
  <w:style w:type="paragraph" w:customStyle="1" w:styleId="193">
    <w:name w:val="样式 163 10 磅"/>
    <w:pPr>
      <w:widowControl w:val="0"/>
      <w:jc w:val="both"/>
    </w:pPr>
    <w:rPr>
      <w:rFonts w:ascii="Calibri" w:eastAsia="宋体" w:cs="Calibri" w:hAnsi="Calibri"/>
      <w:kern w:val="2"/>
      <w:sz w:val="21"/>
      <w:szCs w:val="21"/>
      <w:lang w:val="en-US" w:eastAsia="zh-CN" w:bidi="ar-SA"/>
    </w:rPr>
  </w:style>
  <w:style w:type="paragraph" w:customStyle="1" w:styleId="194">
    <w:name w:val="样式 164 10 磅"/>
    <w:pPr>
      <w:widowControl w:val="0"/>
      <w:jc w:val="both"/>
    </w:pPr>
    <w:rPr>
      <w:rFonts w:ascii="Calibri" w:eastAsia="宋体" w:cs="Calibri" w:hAnsi="Calibri"/>
      <w:kern w:val="2"/>
      <w:sz w:val="21"/>
      <w:szCs w:val="21"/>
      <w:lang w:val="en-US" w:eastAsia="zh-CN" w:bidi="ar-SA"/>
    </w:rPr>
  </w:style>
  <w:style w:type="paragraph" w:customStyle="1" w:styleId="195">
    <w:name w:val="样式 165 10 磅"/>
    <w:pPr>
      <w:widowControl w:val="0"/>
      <w:jc w:val="both"/>
    </w:pPr>
    <w:rPr>
      <w:rFonts w:ascii="Calibri" w:eastAsia="宋体" w:cs="Calibri" w:hAnsi="Calibri"/>
      <w:kern w:val="2"/>
      <w:sz w:val="21"/>
      <w:szCs w:val="21"/>
      <w:lang w:val="en-US" w:eastAsia="zh-CN" w:bidi="ar-SA"/>
    </w:rPr>
  </w:style>
  <w:style w:type="paragraph" w:customStyle="1" w:styleId="196">
    <w:name w:val="样式 166 10 磅"/>
    <w:pPr>
      <w:widowControl w:val="0"/>
      <w:jc w:val="both"/>
    </w:pPr>
    <w:rPr>
      <w:rFonts w:ascii="Calibri" w:eastAsia="宋体" w:cs="Calibri" w:hAnsi="Calibri"/>
      <w:kern w:val="2"/>
      <w:sz w:val="21"/>
      <w:szCs w:val="21"/>
      <w:lang w:val="en-US" w:eastAsia="zh-CN" w:bidi="ar-SA"/>
    </w:rPr>
  </w:style>
  <w:style w:type="paragraph" w:customStyle="1" w:styleId="197">
    <w:name w:val="样式 167 10 磅"/>
    <w:pPr>
      <w:widowControl w:val="0"/>
      <w:jc w:val="both"/>
    </w:pPr>
    <w:rPr>
      <w:rFonts w:ascii="Calibri" w:eastAsia="宋体" w:cs="Calibri" w:hAnsi="Calibri"/>
      <w:kern w:val="2"/>
      <w:sz w:val="21"/>
      <w:szCs w:val="21"/>
      <w:lang w:val="en-US" w:eastAsia="zh-CN" w:bidi="ar-SA"/>
    </w:rPr>
  </w:style>
  <w:style w:type="paragraph" w:customStyle="1" w:styleId="198">
    <w:name w:val="样式 168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1227</TotalTime>
  <Application>Yozo_Office</Application>
  <Pages>13</Pages>
  <Words>13194</Words>
  <Characters>14519</Characters>
  <Lines>393</Lines>
  <Paragraphs>178</Paragraphs>
  <CharactersWithSpaces>14629</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汪绍文</cp:lastModifiedBy>
  <cp:revision>5</cp:revision>
  <dcterms:created xsi:type="dcterms:W3CDTF">2024-01-26T03:30:00Z</dcterms:created>
  <dcterms:modified xsi:type="dcterms:W3CDTF">2026-02-27T02:48:19Z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