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utoSpaceDN w:val="0"/>
        <w:adjustRightInd w:val="0"/>
        <w:snapToGrid w:val="0"/>
        <w:spacing w:line="560" w:lineRule="exact"/>
        <w:ind w:firstLine="420"/>
        <w:jc w:val="center"/>
        <w:rPr>
          <w:rFonts w:ascii="方正小标宋_GBK" w:eastAsia="方正小标宋_GBK" w:cs="Times New Roman"/>
          <w:sz w:val="44"/>
          <w:szCs w:val="44"/>
        </w:rPr>
      </w:pPr>
      <w:bookmarkStart w:id="0" w:name="_GoBack"/>
      <w:bookmarkEnd w:id="0"/>
      <w:r>
        <w:rPr>
          <w:rFonts w:ascii="方正小标宋_GBK" w:eastAsia="方正小标宋_GBK" w:cs="方正小标宋_GBK" w:hint="eastAsia"/>
          <w:sz w:val="44"/>
          <w:szCs w:val="44"/>
        </w:rPr>
        <w:t>武汉海关关于发布境外技术性贸易措施风险信息的提示</w:t>
      </w:r>
    </w:p>
    <w:p>
      <w:pPr>
        <w:autoSpaceDN w:val="0"/>
        <w:adjustRightInd w:val="0"/>
        <w:snapToGrid w:val="0"/>
        <w:spacing w:line="560" w:lineRule="exact"/>
        <w:jc w:val="center"/>
        <w:rPr>
          <w:rFonts w:ascii="方正楷体_GBK" w:eastAsia="方正楷体_GBK" w:cs="Times New Roman"/>
          <w:sz w:val="32"/>
          <w:szCs w:val="32"/>
        </w:rPr>
      </w:pPr>
      <w:r>
        <w:rPr>
          <w:rFonts w:ascii="方正楷体_GBK" w:eastAsia="方正楷体_GBK" w:cs="方正楷体_GBK" w:hint="eastAsia"/>
          <w:sz w:val="32"/>
          <w:szCs w:val="32"/>
        </w:rPr>
        <w:t>（</w:t>
      </w:r>
      <w:r>
        <w:rPr>
          <w:rFonts w:ascii="方正楷体_GBK" w:eastAsia="方正楷体_GBK" w:cs="方正楷体_GBK"/>
          <w:sz w:val="32"/>
          <w:szCs w:val="32"/>
        </w:rPr>
        <w:t>202604</w:t>
      </w:r>
      <w:r>
        <w:rPr>
          <w:rFonts w:ascii="方正楷体_GBK" w:eastAsia="方正楷体_GBK" w:cs="方正楷体_GBK" w:hint="eastAsia"/>
          <w:sz w:val="32"/>
          <w:szCs w:val="32"/>
        </w:rPr>
        <w:t>期总第</w:t>
      </w:r>
      <w:r>
        <w:rPr>
          <w:rFonts w:ascii="方正楷体_GBK" w:eastAsia="方正楷体_GBK" w:cs="方正楷体_GBK"/>
          <w:sz w:val="32"/>
          <w:szCs w:val="32"/>
        </w:rPr>
        <w:t>71</w:t>
      </w:r>
      <w:r>
        <w:rPr>
          <w:rFonts w:ascii="方正楷体_GBK" w:eastAsia="方正楷体_GBK" w:cs="方正楷体_GBK" w:hint="eastAsia"/>
          <w:sz w:val="32"/>
          <w:szCs w:val="32"/>
        </w:rPr>
        <w:t>期）</w:t>
      </w:r>
    </w:p>
    <w:p>
      <w:pPr>
        <w:autoSpaceDN w:val="0"/>
        <w:adjustRightInd w:val="0"/>
        <w:snapToGrid w:val="0"/>
        <w:spacing w:line="560" w:lineRule="exact"/>
        <w:ind w:firstLineChars="200" w:firstLine="640"/>
        <w:rPr>
          <w:rFonts w:ascii="方正仿宋_GBK" w:eastAsia="方正仿宋_GBK" w:cs="Times New Roman"/>
          <w:sz w:val="32"/>
          <w:szCs w:val="32"/>
        </w:rPr>
      </w:pPr>
      <w:r>
        <w:rPr>
          <w:rFonts w:ascii="方正仿宋_GBK" w:eastAsia="方正仿宋_GBK" w:cs="方正仿宋_GBK" w:hint="eastAsia"/>
          <w:sz w:val="32"/>
          <w:szCs w:val="32"/>
        </w:rPr>
        <w:t>当前我国面临复杂严峻的外贸形势，国外技术性贸易措施依然是影响我国企业出口的重要因素之一。为进一步降低技术性贸易措施对湖北出口企业可能造成的影响，推动湖北产品更好“走出去”，提高贸易便利化水平，助力企业开拓海外市场，武汉海关收集整理了近期部分境外技术性贸易措施，供外贸企业参考。现将收集的相关信息公布提示如下：</w:t>
      </w:r>
    </w:p>
    <w:tbl>
      <w:tblPr>
        <w:jc w:val="left"/>
        <w:tblW w:w="14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382"/>
        <w:gridCol w:w="659"/>
        <w:gridCol w:w="12131"/>
      </w:tblGrid>
      <w:tr>
        <w:trPr>
          <w:trHeight w:val="593"/>
        </w:trPr>
        <w:tc>
          <w:tcPr>
            <w:tcW w:w="1382" w:type="dxa"/>
          </w:tcPr>
          <w:p>
            <w:pPr>
              <w:autoSpaceDN w:val="0"/>
              <w:jc w:val="center"/>
              <w:rPr>
                <w:rFonts w:ascii="Times New Roman" w:cs="Times New Roman" w:hAnsi="Times New Roman"/>
                <w:b/>
                <w:bCs/>
              </w:rPr>
            </w:pPr>
            <w:r>
              <w:rPr>
                <w:rFonts w:ascii="Times New Roman" w:cs="Times New Roman" w:hAnsi="Times New Roman"/>
                <w:b/>
                <w:bCs/>
              </w:rPr>
              <w:t>国家</w:t>
            </w:r>
          </w:p>
          <w:p>
            <w:pPr>
              <w:autoSpaceDN w:val="0"/>
              <w:jc w:val="center"/>
              <w:rPr>
                <w:rFonts w:ascii="Times New Roman" w:cs="Times New Roman" w:hAnsi="Times New Roman"/>
                <w:b/>
                <w:bCs/>
              </w:rPr>
            </w:pPr>
            <w:r>
              <w:rPr>
                <w:rFonts w:ascii="Times New Roman" w:cs="Times New Roman" w:hAnsi="Times New Roman"/>
                <w:b/>
                <w:bCs/>
              </w:rPr>
              <w:t>（地区组织）</w:t>
            </w:r>
          </w:p>
        </w:tc>
        <w:tc>
          <w:tcPr>
            <w:tcW w:w="659" w:type="dxa"/>
            <w:vAlign w:val="center"/>
          </w:tcPr>
          <w:p>
            <w:pPr>
              <w:autoSpaceDN w:val="0"/>
              <w:jc w:val="center"/>
              <w:rPr>
                <w:rFonts w:ascii="Times New Roman" w:cs="Times New Roman" w:hAnsi="Times New Roman"/>
              </w:rPr>
            </w:pPr>
            <w:r>
              <w:rPr>
                <w:rFonts w:ascii="Times New Roman" w:cs="Times New Roman" w:hAnsi="Times New Roman"/>
                <w:b/>
                <w:bCs/>
              </w:rPr>
              <w:t>序号</w:t>
            </w:r>
          </w:p>
        </w:tc>
        <w:tc>
          <w:tcPr>
            <w:tcW w:w="12131" w:type="dxa"/>
          </w:tcPr>
          <w:p>
            <w:pPr>
              <w:autoSpaceDN w:val="0"/>
              <w:jc w:val="center"/>
              <w:rPr>
                <w:rFonts w:ascii="Times New Roman" w:cs="Times New Roman" w:hAnsi="Times New Roman"/>
              </w:rPr>
            </w:pPr>
            <w:r>
              <w:rPr>
                <w:rFonts w:ascii="Times New Roman" w:cs="Times New Roman" w:hAnsi="Times New Roman"/>
                <w:b/>
                <w:bCs/>
                <w:sz w:val="28"/>
                <w:szCs w:val="28"/>
              </w:rPr>
              <w:t>提示信息</w:t>
            </w:r>
          </w:p>
        </w:tc>
      </w:tr>
      <w:tr>
        <w:trPr>
          <w:trHeight w:val="2173"/>
        </w:trPr>
        <w:tc>
          <w:tcPr>
            <w:tcW w:w="1382" w:type="dxa"/>
            <w:vMerge w:val="restart"/>
            <w:vAlign w:val="center"/>
          </w:tcPr>
          <w:p>
            <w:pPr>
              <w:pStyle w:val="229"/>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美国</w:t>
            </w: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12131" w:type="dxa"/>
            <w:vAlign w:val="center"/>
          </w:tcPr>
          <w:p>
            <w:pPr>
              <w:rPr>
                <w:rFonts w:ascii="宋体" w:cs="宋体" w:hint="eastAsia"/>
                <w:sz w:val="22"/>
              </w:rPr>
            </w:pPr>
            <w:r>
              <w:rPr>
                <w:rFonts w:ascii="宋体" w:cs="宋体"/>
                <w:sz w:val="22"/>
              </w:rPr>
              <w:t>批准2023年版美国机械工程师协会锅炉和压力容器规范和规范案例，修订版41。拟议规则-美国核管理委员会(NRC)提议修订其法规，以引用方式纳入2023年版美国机械工程师协会(ASME)锅炉和压力容器规范。这一行动符合NRC定期更新法规以通过引用纳入新版ASME规范的政策，旨在维护核电站的安全并使NRC的活动更加有效和高效。NRC还提议修订其法规，以引用的方式纳入三个监管指南的拟议修订，这些指南将批准ASME发布的新的、修订的和重申的规范案例。这一拟议行动将允许核电厂许可证持有人和申请人使用这些监管指南草案中列出的规范案例，作为核电厂部件建造、在役检查和在役测试的工程标准的自愿替代方案。这一拟议规则还包含了一些小的编辑更正。NRC正在征求对该拟议规则、三个监管指南的草案版本以及一个附加监管指南的草案版本的意见，该草案不会通过引用纳入。</w:t>
            </w:r>
          </w:p>
        </w:tc>
      </w:tr>
      <w:tr>
        <w:trPr>
          <w:trHeight w:val="1348"/>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12131" w:type="dxa"/>
            <w:vAlign w:val="center"/>
          </w:tcPr>
          <w:p>
            <w:pPr>
              <w:pStyle w:val="197"/>
              <w:rPr>
                <w:rFonts w:ascii="宋体" w:cs="宋体" w:hint="eastAsia"/>
                <w:sz w:val="22"/>
              </w:rPr>
            </w:pPr>
            <w:r>
              <w:rPr>
                <w:rFonts w:ascii="宋体" w:cs="宋体"/>
                <w:sz w:val="22"/>
              </w:rPr>
              <w:t>从2026年报告年度开始，将某些全氟和多氟烷基物质(PFAS)法定添加到有毒物质释放清单中。环境保护局（EPA或该机构）正在根据《应急规划和社区知情权法案》（EPCRA）和《污染预防法案》（PPA）更新受有毒化学品释放报告约束的化学品清单。具体来说，这一行动更新了法规，以确定一种根据2019年12月20日颁布的2020财年国防授权法案（2020财年NDAA）必须报告的全氟烷基物质。由于采取这一行动是为了使法规符合国会立法授权，因此没有必要制定通知和评议规则。</w:t>
            </w:r>
          </w:p>
        </w:tc>
      </w:tr>
      <w:tr>
        <w:trPr>
          <w:trHeight w:val="1549"/>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12131" w:type="dxa"/>
            <w:vAlign w:val="center"/>
          </w:tcPr>
          <w:p>
            <w:pPr>
              <w:pStyle w:val="198"/>
              <w:rPr>
                <w:rFonts w:ascii="宋体" w:cs="宋体" w:hint="eastAsia"/>
                <w:sz w:val="22"/>
              </w:rPr>
            </w:pPr>
            <w:r>
              <w:rPr>
                <w:rFonts w:ascii="宋体" w:cs="宋体"/>
                <w:sz w:val="22"/>
              </w:rPr>
              <w:t>联邦机动车辆安全标准。美国国家公路交通安全管理局（NHTSA）提议修订联邦机动车辆安全标准第102号“变速器换档位置顺序、起动机联锁和变速器制动效果”。“拟议的修改将把配备自动驾驶系统（ADS）的车辆排除在变速器换档位置显示的要求之外，这些车辆没有手动操作的驾驶控制装置。这种规则制定将消除与设计成帮助驾驶车辆的人的显示器相关联的不必要的监管负担和成本。由于在没有手动操作驾驶控制的情况下，变速器换档位置显示无法满足配备ADS的车辆中相同的安全需求，因此修正案不会影响车辆安全。这一行动是NHTSA在该机构法规中解决车辆自动化问题的更大努力的一部分。</w:t>
            </w:r>
          </w:p>
        </w:tc>
      </w:tr>
      <w:tr>
        <w:trPr>
          <w:trHeight w:val="2485"/>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12131" w:type="dxa"/>
            <w:vAlign w:val="center"/>
          </w:tcPr>
          <w:p>
            <w:pPr>
              <w:pStyle w:val="199"/>
              <w:rPr>
                <w:rFonts w:ascii="宋体" w:cs="宋体" w:hint="eastAsia"/>
                <w:sz w:val="22"/>
              </w:rPr>
            </w:pPr>
            <w:r>
              <w:rPr>
                <w:rFonts w:ascii="宋体" w:cs="宋体"/>
                <w:sz w:val="22"/>
              </w:rPr>
              <w:t>国家有害大气污染物排放标准：灭菌设施环氧乙烷排放标准残留风险与技术审查复议。2024年4月5日，美国环境保护署(EPA)发布了国家有害空气污染物排放标准(NESHAP)：灭菌设施剩余风险和技术审查环氧乙烷排放标准。2024年最终规则根据《清洁空气法》(CAA)章节的残余风险和技术审查(RTR)修订了商业灭菌设施NESHAP。2025年3月12日，EPA宣布正在重新考虑2024年最终规则。根据对2024年最终规则中RTR的重新考虑，EPA提议修改商业灭菌设施NESHAP。修正案将废除基于风险的标准，修订技术审查产生的新通风室通风口的标准，修订合规性论证要求，并废除与永久全封闭(PTE)相关的要求。该提案还包括对商业灭菌设施NESHAP和性能规范19的技术更正和澄清，以解决EPA在2024年最终规则发布后发现的监管文本中的错误交叉引用、文本遗漏和印刷错误。</w:t>
            </w:r>
          </w:p>
        </w:tc>
      </w:tr>
      <w:tr>
        <w:trPr>
          <w:trHeight w:val="1549"/>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w:t>
            </w:r>
          </w:p>
        </w:tc>
        <w:tc>
          <w:tcPr>
            <w:tcW w:w="12131" w:type="dxa"/>
            <w:vAlign w:val="center"/>
          </w:tcPr>
          <w:p>
            <w:pPr>
              <w:pStyle w:val="200"/>
              <w:rPr>
                <w:rFonts w:ascii="宋体" w:cs="宋体" w:hint="eastAsia"/>
                <w:sz w:val="22"/>
              </w:rPr>
            </w:pPr>
            <w:r>
              <w:rPr>
                <w:rFonts w:ascii="宋体" w:cs="宋体"/>
                <w:sz w:val="22"/>
              </w:rPr>
              <w:t>国家有机计划：2021年10月、2022年10月和2024年10月建议的国家允许和禁止物质清单（作物和牲畜）。该拟议规则将修改美国。美国农业部（USDA）与有机作物和牲畜生产相关的有机法规。拟议的规则将为有机生产者提供额外的工具，允许在有机作物生产中使用二氧化碳，在有机牲畜生产中使用美洛昔康作为疼痛治疗。此外，这一规则的制定将消除对有机家禽饲料中蛋氨酸（一种氨基酸）过于繁琐的限制，并将确认硝酸钠可以在有机作物生产中用作肥料，在某些条件下保护土壤质量。</w:t>
            </w:r>
          </w:p>
        </w:tc>
      </w:tr>
      <w:tr>
        <w:trPr>
          <w:trHeight w:val="925"/>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12131" w:type="dxa"/>
            <w:vAlign w:val="center"/>
          </w:tcPr>
          <w:p>
            <w:pPr>
              <w:pStyle w:val="201"/>
              <w:rPr>
                <w:rFonts w:ascii="宋体" w:cs="宋体"/>
                <w:sz w:val="22"/>
              </w:rPr>
            </w:pPr>
            <w:r>
              <w:rPr>
                <w:rFonts w:ascii="宋体" w:cs="宋体"/>
                <w:sz w:val="22"/>
              </w:rPr>
              <w:t>Ecoflora Cares；提交色素添加剂申请的通报。美国食品和药品监督管理局宣布，已经提交了一份由Ecoflora Cares, c/o Exponent, Inc提交的申请，建议修改色素添加剂法规，以规定jagua（京尼平-甘氨酸）蓝作为宠物食品中的色素添加剂在符合良好生产规范的水平下安全使用。</w:t>
            </w:r>
          </w:p>
        </w:tc>
      </w:tr>
      <w:tr>
        <w:trPr>
          <w:trHeight w:val="1036"/>
        </w:trPr>
        <w:tc>
          <w:tcPr>
            <w:tcW w:w="1383" w:type="dxa"/>
            <w:vMerge/>
            <w:vAlign w:val="center"/>
          </w:tcPr>
          <w:p/>
        </w:tc>
        <w:tc>
          <w:tcPr>
            <w:tcW w:w="659"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12131" w:type="dxa"/>
            <w:vAlign w:val="center"/>
          </w:tcPr>
          <w:p>
            <w:pPr>
              <w:jc w:val="left"/>
              <w:rPr>
                <w:rFonts w:ascii="宋体" w:cs="宋体"/>
                <w:sz w:val="22"/>
              </w:rPr>
            </w:pPr>
            <w:r>
              <w:rPr>
                <w:rFonts w:ascii="宋体" w:cs="宋体"/>
                <w:sz w:val="22"/>
              </w:rPr>
              <w:t>Kemin Industries, Inc.；提交食品添加剂申请（动物使用）的通报。美国食品和药品监督管理局宣布，已经提交了一份由Kemin Industries，Inc.提交的食品添加剂申请，建议我修订食品添加剂法规，以规定丙酸铬作为蛋鸡和种鸡用食品中铬的来源的安全使用。</w:t>
            </w:r>
          </w:p>
        </w:tc>
      </w:tr>
      <w:tr>
        <w:trPr>
          <w:trHeight w:val="981"/>
        </w:trPr>
        <w:tc>
          <w:tcPr>
            <w:tcW w:w="1382" w:type="dxa"/>
            <w:tcBorders>
              <w:tl2br w:val="nil"/>
              <w:tr2bl w:val="nil"/>
            </w:tcBorders>
            <w:vAlign w:val="center"/>
          </w:tcPr>
          <w:p>
            <w:pPr>
              <w:pStyle w:val="207"/>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澳大利亚</w:t>
            </w:r>
          </w:p>
        </w:tc>
        <w:tc>
          <w:tcPr>
            <w:tcW w:w="659" w:type="dxa"/>
            <w:tcBorders>
              <w:top w:val="single" w:sz="4" w:space="0" w:color="000000"/>
              <w:left w:val="single" w:sz="4" w:space="0" w:color="000000"/>
              <w:right w:val="single" w:sz="4" w:space="0" w:color="000000"/>
            </w:tcBorders>
            <w:vAlign w:val="center"/>
          </w:tcPr>
          <w:p>
            <w:pPr>
              <w:pStyle w:val="230"/>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12131" w:type="dxa"/>
            <w:vAlign w:val="center"/>
          </w:tcPr>
          <w:p>
            <w:pPr>
              <w:jc w:val="left"/>
              <w:rPr>
                <w:rFonts w:ascii="宋体" w:cs="宋体"/>
                <w:sz w:val="22"/>
              </w:rPr>
            </w:pPr>
            <w:r>
              <w:rPr>
                <w:rFonts w:ascii="宋体" w:cs="宋体"/>
                <w:sz w:val="22"/>
              </w:rPr>
              <w:t>拟议的附表决定-全氟庚烷磺酸(PFHpS)和有关物质(PDF 250KB)拟议的附表决定-全氟壬烷磺酸(PFNS)、全氟癸烷磺酸(PFDS)和有关物质(PDF 249KB)拟议的附表决定-2,4,6-三叔丁基苯酚(PDF 254KB)。工业化学品环境管理标准（IChEMS）由所有澳大利亚政府制定，旨在高效和有效地管理工业化学品对环境的风险，同时为全澳的企业提供一致的要求。IChEMS登记册记录了化学品环境管理的标准，包括特定工业用途的风险管理措施。反过来，澳大利亚联邦政府和每个州和地区政府将制定立法，在其管辖范围内实施标准。拟议的标准将把以下化学品、混合物和含有这些化学品的物品列入IChEMS登记册的附表7。这将禁止其在澳大利亚进口、制造、使用和出口，但无意的微量污染、研究、无害环境处置、标准生效日期之前使用的物品以及碳氢化合物燃料中2,4,6-三叔丁基苯酚含量低于或等于50毫克/千克的除外。全氟庚烷磺酸(PFHpS)和有关物质全氟壬烷磺酸(PFNS)、全氟癸烷磺酸(PFDS)和有关物质2,4,6-三叔丁基苯酚。</w:t>
            </w:r>
          </w:p>
        </w:tc>
      </w:tr>
      <w:tr>
        <w:trPr>
          <w:trHeight w:val="687"/>
        </w:trPr>
        <w:tc>
          <w:tcPr>
            <w:tcW w:w="1382" w:type="dxa"/>
            <w:vMerge w:val="restart"/>
            <w:tcBorders>
              <w:tl2br w:val="nil"/>
              <w:tr2bl w:val="nil"/>
            </w:tcBorders>
            <w:vAlign w:val="center"/>
          </w:tcPr>
          <w:p>
            <w:pPr>
              <w:pStyle w:val="303"/>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巴西</w:t>
            </w:r>
          </w:p>
        </w:tc>
        <w:tc>
          <w:tcPr>
            <w:tcW w:w="659" w:type="dxa"/>
            <w:tcBorders>
              <w:top w:val="single" w:sz="4" w:space="0" w:color="000000"/>
              <w:left w:val="single" w:sz="4" w:space="0" w:color="000000"/>
              <w:right w:val="single" w:sz="4" w:space="0" w:color="000000"/>
            </w:tcBorders>
            <w:vAlign w:val="center"/>
          </w:tcPr>
          <w:p>
            <w:pPr>
              <w:pStyle w:val="231"/>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12131" w:type="dxa"/>
            <w:vAlign w:val="center"/>
          </w:tcPr>
          <w:p>
            <w:pPr>
              <w:pStyle w:val="301"/>
              <w:rPr>
                <w:rFonts w:ascii="宋体" w:cs="宋体" w:hint="eastAsia"/>
                <w:sz w:val="22"/>
              </w:rPr>
            </w:pPr>
            <w:r>
              <w:rPr>
                <w:rFonts w:ascii="宋体" w:cs="宋体"/>
                <w:sz w:val="22"/>
              </w:rPr>
              <w:t>ANP第996号决议，2026年3月3日。本法规管理生物甲烷生产商和进口商为签发生物甲烷原产地保证证书（CGOB）而进行的认证、为首次签发CGOB而生成必要文件的程序、原产地认证代理的认证以及其他相关事宜。</w:t>
            </w:r>
          </w:p>
        </w:tc>
      </w:tr>
      <w:tr>
        <w:trPr>
          <w:trHeight w:val="48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32"/>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12131" w:type="dxa"/>
            <w:vAlign w:val="center"/>
          </w:tcPr>
          <w:p>
            <w:pPr>
              <w:pStyle w:val="302"/>
              <w:rPr>
                <w:rFonts w:ascii="宋体" w:cs="宋体" w:hint="eastAsia"/>
                <w:sz w:val="22"/>
              </w:rPr>
            </w:pPr>
            <w:r>
              <w:rPr>
                <w:rFonts w:ascii="宋体" w:cs="宋体"/>
                <w:sz w:val="22"/>
              </w:rPr>
              <w:t>更新进口智利共和国生产的蓝莓果实的植物检疫要求。旨在更新进口智利生产的新鲜蓝莓（第3类）的植物检疫要求的条例草案。</w:t>
            </w:r>
          </w:p>
        </w:tc>
      </w:tr>
      <w:tr>
        <w:trPr>
          <w:trHeight w:val="1237"/>
        </w:trPr>
        <w:tc>
          <w:tcPr>
            <w:tcW w:w="1382" w:type="dxa"/>
            <w:vMerge w:val="restart"/>
            <w:tcBorders>
              <w:tl2br w:val="nil"/>
              <w:tr2bl w:val="nil"/>
            </w:tcBorders>
            <w:vAlign w:val="center"/>
          </w:tcPr>
          <w:p>
            <w:pPr>
              <w:pStyle w:val="207"/>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菲律宾</w:t>
            </w:r>
          </w:p>
        </w:tc>
        <w:tc>
          <w:tcPr>
            <w:tcW w:w="659" w:type="dxa"/>
            <w:tcBorders>
              <w:top w:val="single" w:sz="4" w:space="0" w:color="000000"/>
              <w:left w:val="single" w:sz="4" w:space="0" w:color="000000"/>
              <w:right w:val="single" w:sz="4" w:space="0" w:color="000000"/>
            </w:tcBorders>
            <w:vAlign w:val="center"/>
          </w:tcPr>
          <w:p>
            <w:pPr>
              <w:pStyle w:val="23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11</w:t>
            </w:r>
          </w:p>
        </w:tc>
        <w:tc>
          <w:tcPr>
            <w:tcW w:w="12131" w:type="dxa"/>
            <w:vAlign w:val="center"/>
          </w:tcPr>
          <w:p>
            <w:pPr>
              <w:pStyle w:val="205"/>
              <w:rPr>
                <w:rFonts w:ascii="宋体" w:cs="宋体" w:hint="eastAsia"/>
                <w:sz w:val="22"/>
              </w:rPr>
            </w:pPr>
            <w:r>
              <w:rPr>
                <w:rFonts w:ascii="宋体" w:cs="宋体"/>
                <w:sz w:val="22"/>
              </w:rPr>
              <w:t>为本地和外国制药商制定良好生产规范（GMP）合规证书的申请指南。该草案规定了本地和外国制药商申请、颁发、更新和GMP合规证书的指南、程序、文件要求和监管框架。该措施包括：药品生产企业GMP认证要求；申请和评估的程序；评估机制（桌面和现场检查）；暂停、撤销、注销GMP证书的理由；目标是加强监管，确保产品质量、安全性和有效性，并使GMP合规性要求与国际公认标准相协调。</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34"/>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12</w:t>
            </w:r>
          </w:p>
        </w:tc>
        <w:tc>
          <w:tcPr>
            <w:tcW w:w="12131" w:type="dxa"/>
            <w:vAlign w:val="center"/>
          </w:tcPr>
          <w:p>
            <w:pPr>
              <w:rPr>
                <w:rFonts w:ascii="宋体" w:cs="宋体" w:hint="eastAsia"/>
                <w:sz w:val="22"/>
              </w:rPr>
            </w:pPr>
            <w:r>
              <w:rPr>
                <w:rFonts w:ascii="宋体" w:cs="宋体"/>
                <w:sz w:val="22"/>
              </w:rPr>
              <w:t>关于新型烟草产品强制性产品认证实施指南的部门行政命令草案。鉴于围绕发布草案的紧急公共卫生考虑，恭敬地提议将十四天的意见征询期缩短。该部门最近的监管行动强调了确保只有合规的新型烟草产品才能在市场上销售的必要性。鉴于这些发展，有必要加快评论期，以便迅速采取监管措施，保护消费者并防止进一步接触危险产品。</w:t>
            </w:r>
          </w:p>
        </w:tc>
      </w:tr>
      <w:tr>
        <w:trPr>
          <w:trHeight w:val="232"/>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35"/>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12131" w:type="dxa"/>
            <w:vAlign w:val="center"/>
          </w:tcPr>
          <w:p>
            <w:pPr>
              <w:jc w:val="left"/>
              <w:rPr>
                <w:rFonts w:ascii="宋体" w:eastAsia="宋体" w:cs="宋体"/>
                <w:sz w:val="22"/>
              </w:rPr>
            </w:pPr>
            <w:r>
              <w:rPr>
                <w:rFonts w:ascii="宋体" w:cs="宋体"/>
                <w:sz w:val="22"/>
              </w:rPr>
              <w:t>关于维护进口和或分销记录以及报告医疗器械产品投诉、不良事件和现场安全纠正措施的指南。拟议的通告提供了关于医疗器械进口和或分销记录的维护以及产品投诉、不良事件和现场安全纠正措施报告的指南。它适用于菲律宾市场上的所有注册医疗器械和体外诊断医疗器械。该通知明确了上市许可持有人和经销商在维护可追溯性记录和支持上市后监督方面的责任。该通知还设定了确定可报告AE和FSCAs的明确标准。它建立了向FDA通报AE和FSCA的标准化报告格式、时间表和提交程序。该通知就投诉处理、记录保存和后续报告提供了指导。它进一步概述了FSCA启动、实施和关闭的程序，包括FDA审查和同意。该措施使国家上市后要求与东盟医疗器械指令保持一致，特别是关于上市后警报系统的附件5。</w:t>
            </w:r>
          </w:p>
        </w:tc>
      </w:tr>
      <w:tr>
        <w:trPr>
          <w:trHeight w:val="773"/>
        </w:trPr>
        <w:tc>
          <w:tcPr>
            <w:tcW w:w="1382" w:type="dxa"/>
            <w:tcBorders>
              <w:tl2br w:val="nil"/>
              <w:tr2bl w:val="nil"/>
            </w:tcBorders>
            <w:vAlign w:val="center"/>
          </w:tcPr>
          <w:p>
            <w:pPr>
              <w:pStyle w:val="106"/>
              <w:jc w:val="center"/>
            </w:pPr>
            <w:r>
              <w:t>哈萨克斯坦</w:t>
            </w:r>
          </w:p>
        </w:tc>
        <w:tc>
          <w:tcPr>
            <w:tcW w:w="659" w:type="dxa"/>
            <w:tcBorders>
              <w:top w:val="single" w:sz="4" w:space="0" w:color="000000"/>
              <w:left w:val="single" w:sz="4" w:space="0" w:color="000000"/>
              <w:right w:val="single" w:sz="4" w:space="0" w:color="000000"/>
            </w:tcBorders>
            <w:vAlign w:val="center"/>
          </w:tcPr>
          <w:p>
            <w:pPr>
              <w:pStyle w:val="236"/>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12131" w:type="dxa"/>
            <w:vAlign w:val="center"/>
          </w:tcPr>
          <w:p>
            <w:pPr>
              <w:rPr>
                <w:rFonts w:ascii="宋体" w:cs="宋体"/>
                <w:sz w:val="22"/>
              </w:rPr>
            </w:pPr>
            <w:r>
              <w:rPr>
                <w:rFonts w:ascii="宋体" w:cs="宋体"/>
                <w:sz w:val="22"/>
              </w:rPr>
              <w:t>根据医疗器械使用的潜在风险，起草医疗器械质量管理体系实施、维护和评价要求的修正案。 根据医疗器械使用的潜在风险，医疗器械质量管理体系的实施、维护和评估要求修正案草案适用于在欧亚经济联盟境内投入流通的医疗器械，并规定了以下内容：在某些情况下，无需检验机构访问灭菌场所即可确认灭菌场所的生产条件符合既定要求的可能性，这将避免在评估质量管理体系时重复个别程序，以使医疗器械制造商和检验机构的资源合理化。</w:t>
            </w:r>
          </w:p>
        </w:tc>
      </w:tr>
      <w:tr>
        <w:trPr>
          <w:trHeight w:val="1237"/>
        </w:trPr>
        <w:tc>
          <w:tcPr>
            <w:tcW w:w="1382" w:type="dxa"/>
            <w:vMerge w:val="restart"/>
            <w:tcBorders>
              <w:tl2br w:val="nil"/>
              <w:tr2bl w:val="nil"/>
            </w:tcBorders>
            <w:vAlign w:val="center"/>
          </w:tcPr>
          <w:p>
            <w:pPr>
              <w:pStyle w:val="106"/>
              <w:jc w:val="center"/>
            </w:pPr>
            <w:r>
              <w:t>韩国</w:t>
            </w:r>
          </w:p>
        </w:tc>
        <w:tc>
          <w:tcPr>
            <w:tcW w:w="659" w:type="dxa"/>
            <w:tcBorders>
              <w:top w:val="single" w:sz="4" w:space="0" w:color="000000"/>
              <w:left w:val="single" w:sz="4" w:space="0" w:color="000000"/>
              <w:right w:val="single" w:sz="4" w:space="0" w:color="000000"/>
            </w:tcBorders>
            <w:vAlign w:val="center"/>
          </w:tcPr>
          <w:p>
            <w:pPr>
              <w:pStyle w:val="237"/>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12131" w:type="dxa"/>
            <w:vAlign w:val="center"/>
          </w:tcPr>
          <w:p>
            <w:pPr>
              <w:pStyle w:val="103"/>
              <w:rPr>
                <w:rFonts w:ascii="宋体" w:cs="宋体"/>
                <w:sz w:val="22"/>
              </w:rPr>
            </w:pPr>
            <w:r>
              <w:rPr>
                <w:rFonts w:ascii="宋体" w:cs="宋体"/>
                <w:sz w:val="22"/>
              </w:rPr>
              <w:t>《转基因食品标签标准》拟议修订案。韩国食品药品安全部拟修订《转基因食品标签标准》。主要修订内容如下：即使在最终产品中检测不到转基因DNA或蛋白质，使用转基因配料制造或加工的食品也须遵守转基因食品标签要求，包括：《韩国食品法典》中定义的酱油、糖类、食用油脂。考虑到行业的准备情况和相关情况，生效日期规定如下：酱油：自2026年12月31日起生效；糖类、食用油脂：自2027年12月31日起生效。</w:t>
            </w:r>
          </w:p>
        </w:tc>
      </w:tr>
      <w:tr>
        <w:trPr>
          <w:trHeight w:val="1038"/>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38"/>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12131" w:type="dxa"/>
            <w:vAlign w:val="center"/>
          </w:tcPr>
          <w:p>
            <w:pPr>
              <w:jc w:val="left"/>
              <w:rPr>
                <w:rFonts w:ascii="宋体" w:cs="宋体" w:hint="eastAsia"/>
                <w:sz w:val="22"/>
              </w:rPr>
            </w:pPr>
            <w:r>
              <w:rPr>
                <w:rFonts w:ascii="宋体" w:cs="宋体"/>
                <w:sz w:val="22"/>
              </w:rPr>
              <w:t>拟修订《食品添加剂标准规范》。韩国正在提议修订《食品添加剂标准规范》。修订案的要点如下：1）营养强化剂的使用，包括新的名称将得到扩大；2）将对亚硫酸盐等物质使用标准进行修订；3）磷酸盐和其他物质的成分规格将被修订；4）甜味剂使用标准将修订；5）将修订食品添加剂的成分规格和比重测量的测试方法。</w:t>
            </w:r>
          </w:p>
        </w:tc>
      </w:tr>
      <w:tr>
        <w:trPr>
          <w:trHeight w:val="613"/>
        </w:trPr>
        <w:tc>
          <w:tcPr>
            <w:tcW w:w="1382" w:type="dxa"/>
            <w:tcBorders>
              <w:tl2br w:val="nil"/>
              <w:tr2bl w:val="nil"/>
            </w:tcBorders>
            <w:vAlign w:val="center"/>
          </w:tcPr>
          <w:p>
            <w:pPr>
              <w:pStyle w:val="208"/>
              <w:jc w:val="center"/>
            </w:pPr>
            <w:r>
              <w:t>吉尔吉斯斯坦</w:t>
            </w:r>
          </w:p>
        </w:tc>
        <w:tc>
          <w:tcPr>
            <w:tcW w:w="659" w:type="dxa"/>
            <w:tcBorders>
              <w:top w:val="single" w:sz="4" w:space="0" w:color="000000"/>
              <w:left w:val="single" w:sz="4" w:space="0" w:color="000000"/>
              <w:right w:val="single" w:sz="4" w:space="0" w:color="000000"/>
            </w:tcBorders>
            <w:vAlign w:val="center"/>
          </w:tcPr>
          <w:p>
            <w:pPr>
              <w:pStyle w:val="239"/>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12131" w:type="dxa"/>
            <w:vAlign w:val="center"/>
          </w:tcPr>
          <w:p>
            <w:pPr>
              <w:jc w:val="left"/>
              <w:rPr>
                <w:rFonts w:ascii="宋体" w:cs="宋体" w:hint="eastAsia"/>
                <w:sz w:val="22"/>
              </w:rPr>
            </w:pPr>
            <w:r>
              <w:rPr>
                <w:rFonts w:ascii="宋体" w:cs="宋体"/>
                <w:sz w:val="22"/>
              </w:rPr>
              <w:t>欧亚经济委员会关于耗能设备能效要求的技术法规第1号修正案草案（TR EAEU 048/2019）。根据应用实践结果对技术法规的某些条款进行编辑修改，明确对某些类型产品和能效等级的要求</w:t>
            </w:r>
          </w:p>
        </w:tc>
      </w:tr>
      <w:tr>
        <w:trPr>
          <w:trHeight w:val="626"/>
        </w:trPr>
        <w:tc>
          <w:tcPr>
            <w:tcW w:w="1382" w:type="dxa"/>
            <w:vMerge w:val="restart"/>
            <w:tcBorders>
              <w:tl2br w:val="nil"/>
              <w:tr2bl w:val="nil"/>
            </w:tcBorders>
            <w:vAlign w:val="center"/>
          </w:tcPr>
          <w:p>
            <w:pPr>
              <w:pStyle w:val="208"/>
              <w:jc w:val="center"/>
            </w:pPr>
            <w:r>
              <w:t>加拿大</w:t>
            </w:r>
          </w:p>
        </w:tc>
        <w:tc>
          <w:tcPr>
            <w:tcW w:w="659" w:type="dxa"/>
            <w:tcBorders>
              <w:top w:val="single" w:sz="4" w:space="0" w:color="000000"/>
              <w:left w:val="single" w:sz="4" w:space="0" w:color="000000"/>
              <w:right w:val="single" w:sz="4" w:space="0" w:color="000000"/>
            </w:tcBorders>
            <w:vAlign w:val="center"/>
          </w:tcPr>
          <w:p>
            <w:pPr>
              <w:pStyle w:val="240"/>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12131" w:type="dxa"/>
            <w:vAlign w:val="center"/>
          </w:tcPr>
          <w:p>
            <w:pPr>
              <w:jc w:val="left"/>
              <w:rPr>
                <w:rFonts w:ascii="宋体" w:cs="宋体" w:hint="eastAsia"/>
                <w:sz w:val="22"/>
              </w:rPr>
            </w:pPr>
            <w:r>
              <w:rPr>
                <w:rFonts w:ascii="宋体" w:cs="宋体"/>
                <w:sz w:val="22"/>
              </w:rPr>
              <w:t>关于RSS-Gen的咨询，第6期。 加拿大创新、科学和经济发展部特此通知修订了以下标准：RSS-Gen，第6期，无线电设备合规性的一般要求，规定了适用于许可和免许可无线电设备的一般要求。</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41"/>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12131" w:type="dxa"/>
            <w:vAlign w:val="center"/>
          </w:tcPr>
          <w:p>
            <w:pPr>
              <w:jc w:val="left"/>
              <w:rPr>
                <w:rFonts w:ascii="宋体" w:cs="宋体" w:hint="eastAsia"/>
                <w:sz w:val="22"/>
              </w:rPr>
            </w:pPr>
            <w:r>
              <w:rPr>
                <w:rFonts w:ascii="宋体" w:cs="宋体"/>
                <w:sz w:val="22"/>
              </w:rPr>
              <w:t>关于RSS-310的咨询，第6期。 加拿大创新、科学和经济发展部特此通知修订了以下标准：RSS-310，第6期，免许可证无线电设备：第二类设备，规定了免认证的免许可证无线电设备的要求。</w:t>
            </w:r>
          </w:p>
        </w:tc>
      </w:tr>
      <w:tr>
        <w:trPr>
          <w:trHeight w:val="1549"/>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42"/>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12131" w:type="dxa"/>
            <w:vAlign w:val="center"/>
          </w:tcPr>
          <w:p>
            <w:pPr>
              <w:jc w:val="left"/>
              <w:rPr>
                <w:rFonts w:ascii="宋体" w:cs="宋体" w:hint="eastAsia"/>
                <w:sz w:val="22"/>
              </w:rPr>
            </w:pPr>
            <w:r>
              <w:rPr>
                <w:rFonts w:ascii="宋体" w:cs="宋体"/>
                <w:sz w:val="22"/>
              </w:rPr>
              <w:t>《关于修订〈受控药品和物质法案〉附表VI的指令》（新增芬太尼前体）。本通报旨在告知各成员，加拿大已于2026年3月11日公布对苯乙基溴、苯乙基氯、苯乙基碘、丙酸酐和苄基氯的永久性管制措施，将其列入《受控药品和物质法案》附表VI以及《前体管制条例》的附表中。该永久性管制措施将于2026年4月12日生效（苯乙基溴、丙酸酐和苄基氯此前已根据部长令在加拿大受到临时管制）。通过此项修订，任何未经授权而对这些前体物质开展受管制活动的人员将面临违法指控和处罚。</w:t>
            </w:r>
          </w:p>
        </w:tc>
      </w:tr>
      <w:tr>
        <w:trPr>
          <w:trHeight w:val="1237"/>
        </w:trPr>
        <w:tc>
          <w:tcPr>
            <w:tcW w:w="1382" w:type="dxa"/>
            <w:vMerge w:val="restart"/>
            <w:tcBorders>
              <w:tl2br w:val="nil"/>
              <w:tr2bl w:val="nil"/>
            </w:tcBorders>
            <w:vAlign w:val="center"/>
          </w:tcPr>
          <w:p>
            <w:pPr>
              <w:pStyle w:val="163"/>
              <w:jc w:val="center"/>
            </w:pPr>
            <w:r>
              <w:t>肯尼亚</w:t>
            </w:r>
          </w:p>
        </w:tc>
        <w:tc>
          <w:tcPr>
            <w:tcW w:w="659" w:type="dxa"/>
            <w:tcBorders>
              <w:top w:val="single" w:sz="4" w:space="0" w:color="000000"/>
              <w:left w:val="single" w:sz="4" w:space="0" w:color="000000"/>
              <w:right w:val="single" w:sz="4" w:space="0" w:color="000000"/>
            </w:tcBorders>
            <w:vAlign w:val="center"/>
          </w:tcPr>
          <w:p>
            <w:pPr>
              <w:pStyle w:val="243"/>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12131" w:type="dxa"/>
            <w:vAlign w:val="center"/>
          </w:tcPr>
          <w:p>
            <w:pPr>
              <w:pStyle w:val="107"/>
              <w:jc w:val="left"/>
              <w:rPr>
                <w:rFonts w:ascii="宋体" w:cs="宋体" w:hint="eastAsia"/>
                <w:sz w:val="22"/>
              </w:rPr>
            </w:pPr>
            <w:r>
              <w:rPr>
                <w:rFonts w:ascii="宋体" w:cs="宋体"/>
                <w:sz w:val="22"/>
              </w:rPr>
              <w:t xml:space="preserve">DKS 3050-2:20 25防火门和门组规范。本标准草案规定了防火金属门和木门，特别是旋转门、滑动门和卷帘的设计、材料和构造的要求。该标准还规定了防火门组件的供应、安装和日常维护的要求。范围延伸到门或墙开口的必要保护，包括相邻的地板和天花板，以确保结构内有效的防火和防烟分隔，并防止烟雾蔓延。本标准草案不包括电梯和升降机的提升道门中使用的垂直滑动门或旋转门。消防安全窗帘和保险库门也不包括在本标准中。 </w:t>
            </w:r>
          </w:p>
        </w:tc>
      </w:tr>
      <w:tr>
        <w:trPr>
          <w:trHeight w:val="63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44"/>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12131" w:type="dxa"/>
            <w:vAlign w:val="center"/>
          </w:tcPr>
          <w:p>
            <w:pPr>
              <w:rPr>
                <w:rFonts w:ascii="宋体" w:cs="宋体" w:hint="eastAsia"/>
                <w:sz w:val="22"/>
              </w:rPr>
            </w:pPr>
            <w:r>
              <w:rPr>
                <w:rFonts w:ascii="宋体" w:cs="宋体"/>
                <w:sz w:val="22"/>
              </w:rPr>
              <w:t>DKS 662-1:20 26电气装置要求第1部分：范围、目标和基本原则。本标准适用于电气装置的设计、安装和验证。</w:t>
            </w:r>
          </w:p>
        </w:tc>
      </w:tr>
      <w:tr>
        <w:trPr>
          <w:trHeight w:val="626"/>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45"/>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12131" w:type="dxa"/>
            <w:vAlign w:val="center"/>
          </w:tcPr>
          <w:p>
            <w:pPr>
              <w:rPr>
                <w:rFonts w:ascii="宋体" w:cs="宋体"/>
                <w:sz w:val="22"/>
              </w:rPr>
            </w:pPr>
            <w:r>
              <w:rPr>
                <w:rFonts w:ascii="宋体" w:cs="宋体"/>
                <w:sz w:val="22"/>
              </w:rPr>
              <w:t>DKS 662-4:20 26电气装置要求第4部分：安全保护。本标准规定了关于电击防护的基本要求，包括人员和牲畜的基本防护和故障防护。它还涉及这些要求在外部影响方面的应用和协调。</w:t>
            </w:r>
          </w:p>
        </w:tc>
      </w:tr>
      <w:tr>
        <w:trPr>
          <w:trHeight w:val="949"/>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46"/>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12131" w:type="dxa"/>
            <w:vAlign w:val="center"/>
          </w:tcPr>
          <w:p>
            <w:pPr>
              <w:rPr>
                <w:rFonts w:ascii="宋体" w:cs="宋体"/>
                <w:sz w:val="22"/>
              </w:rPr>
            </w:pPr>
            <w:r>
              <w:rPr>
                <w:rFonts w:ascii="宋体" w:cs="宋体"/>
                <w:sz w:val="22"/>
              </w:rPr>
              <w:t>KS 3049：2026低碳茶-生产和标签要求。本标准规定了低碳茶的生产、加工、调配、包装、标签和合格评定的要求。它适用于从茶树中获得的红茶、绿茶、紫茶、白茶、乌龙茶和其他类型的茶，以及用于预包装零售或其他渠道的混合茶。它不包括非来自茶树的草药浸剂。</w:t>
            </w:r>
          </w:p>
        </w:tc>
      </w:tr>
      <w:tr>
        <w:trPr>
          <w:trHeight w:val="589"/>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47"/>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12131" w:type="dxa"/>
            <w:vAlign w:val="center"/>
          </w:tcPr>
          <w:p>
            <w:pPr>
              <w:jc w:val="left"/>
              <w:rPr>
                <w:rFonts w:ascii="宋体" w:cs="宋体" w:hint="eastAsia"/>
                <w:sz w:val="22"/>
              </w:rPr>
            </w:pPr>
            <w:r>
              <w:rPr>
                <w:rFonts w:ascii="宋体" w:cs="宋体"/>
                <w:sz w:val="22"/>
              </w:rPr>
              <w:t>DARS 2178：2026室内和室外用光泽溶剂型涂料-规范。本标准草案规定了室内和室外用光泽溶剂型涂料的要求、取样和试验方法。本标准不适用于汽车、道路标线和工业用涂料。</w:t>
            </w:r>
          </w:p>
        </w:tc>
      </w:tr>
      <w:tr>
        <w:trPr>
          <w:trHeight w:val="82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48"/>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12131" w:type="dxa"/>
            <w:vAlign w:val="center"/>
          </w:tcPr>
          <w:p>
            <w:pPr>
              <w:rPr>
                <w:rFonts w:ascii="宋体" w:cs="宋体" w:hint="eastAsia"/>
                <w:sz w:val="22"/>
              </w:rPr>
            </w:pPr>
            <w:r>
              <w:rPr>
                <w:rFonts w:ascii="宋体" w:cs="宋体"/>
                <w:sz w:val="22"/>
              </w:rPr>
              <w:t>DARS 2180：2026室内和室外用半光泽（蛋壳）溶剂型涂料-规范。该标准草案规定了室内和室外用半光泽（蛋壳）溶剂型涂料的要求、取样和测试方法。本标准不适用于汽车、道路标记和工业应用。</w:t>
            </w:r>
          </w:p>
        </w:tc>
      </w:tr>
      <w:tr>
        <w:trPr>
          <w:trHeight w:val="56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49"/>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12131" w:type="dxa"/>
            <w:vAlign w:val="center"/>
          </w:tcPr>
          <w:p>
            <w:pPr>
              <w:pStyle w:val="210"/>
              <w:rPr>
                <w:rFonts w:ascii="宋体" w:cs="宋体" w:hint="eastAsia"/>
                <w:sz w:val="22"/>
              </w:rPr>
            </w:pPr>
            <w:r>
              <w:rPr>
                <w:rFonts w:ascii="宋体" w:cs="宋体"/>
                <w:sz w:val="22"/>
              </w:rPr>
              <w:t>DARS 2181：2026纹理涂料-规范。本标准草案规定了适用于混凝土表面、木板、底漆木材、底漆金属的外部和内部使用的水性纹理涂料的要求、取样和测试方法，以提供保护和装饰涂层。</w:t>
            </w:r>
          </w:p>
        </w:tc>
      </w:tr>
      <w:tr>
        <w:trPr>
          <w:trHeight w:val="668"/>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50"/>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12131" w:type="dxa"/>
            <w:vAlign w:val="center"/>
          </w:tcPr>
          <w:p>
            <w:pPr>
              <w:pStyle w:val="211"/>
              <w:rPr>
                <w:rFonts w:ascii="宋体" w:cs="宋体" w:hint="eastAsia"/>
                <w:sz w:val="22"/>
              </w:rPr>
            </w:pPr>
            <w:r>
              <w:rPr>
                <w:rFonts w:ascii="宋体" w:cs="宋体"/>
                <w:sz w:val="22"/>
              </w:rPr>
              <w:t>DKS 662-6:20 26电气装置要求第6部分：检查和试验。本标准概述了检查、测试和认证电气装置的程序和要求，以确保调试前和定期维护期间的安全性、合规性和正常运行。</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51"/>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12131" w:type="dxa"/>
            <w:vAlign w:val="center"/>
          </w:tcPr>
          <w:p>
            <w:pPr>
              <w:pStyle w:val="213"/>
              <w:rPr>
                <w:rFonts w:ascii="宋体" w:cs="宋体" w:hint="eastAsia"/>
                <w:sz w:val="22"/>
              </w:rPr>
            </w:pPr>
            <w:r>
              <w:rPr>
                <w:rFonts w:ascii="宋体" w:cs="宋体"/>
                <w:sz w:val="22"/>
              </w:rPr>
              <w:t>DKS 662-5:20 26电气装置要求第5部分：设备的选择和安装。该标准确保电气系统的设计和安装考虑到安全，防止过电流、故障电流和火灾风险等电气危险。它包括一套全面的接线方法、保护、接地、粘合和检查指南，以确保安全、有效和合规的电气安装。它提供了遵守安全保护措施的通用规则、装置预期用途的正常运行要求以及适合外部影响的要求。</w:t>
            </w:r>
          </w:p>
        </w:tc>
      </w:tr>
      <w:tr>
        <w:trPr>
          <w:trHeight w:val="613"/>
        </w:trPr>
        <w:tc>
          <w:tcPr>
            <w:tcW w:w="1382" w:type="dxa"/>
            <w:tcBorders>
              <w:tl2br w:val="nil"/>
              <w:tr2bl w:val="nil"/>
            </w:tcBorders>
            <w:vAlign w:val="center"/>
          </w:tcPr>
          <w:p>
            <w:pPr>
              <w:pStyle w:val="164"/>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卢旺达</w:t>
            </w:r>
          </w:p>
        </w:tc>
        <w:tc>
          <w:tcPr>
            <w:tcW w:w="659" w:type="dxa"/>
            <w:tcBorders>
              <w:top w:val="single" w:sz="4" w:space="0" w:color="000000"/>
              <w:left w:val="single" w:sz="4" w:space="0" w:color="000000"/>
              <w:right w:val="single" w:sz="4" w:space="0" w:color="000000"/>
            </w:tcBorders>
            <w:vAlign w:val="center"/>
          </w:tcPr>
          <w:p>
            <w:pPr>
              <w:pStyle w:val="252"/>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12131" w:type="dxa"/>
            <w:vAlign w:val="center"/>
          </w:tcPr>
          <w:p>
            <w:pPr>
              <w:pStyle w:val="215"/>
              <w:rPr>
                <w:rFonts w:ascii="宋体" w:cs="宋体" w:hint="eastAsia"/>
                <w:sz w:val="22"/>
              </w:rPr>
            </w:pPr>
            <w:r>
              <w:rPr>
                <w:rFonts w:ascii="宋体" w:cs="宋体"/>
                <w:sz w:val="22"/>
              </w:rPr>
              <w:t>DRS 365：2026，电动升降机安装-安全要求。本卢旺达标准规定了安装永久性新型电动升降机的安全要求，该升降机的轿厢设计用于运输人员和/或货物，由绳索或链条悬挂，并在与垂直方向倾斜不超过15°的导轨之间移动。</w:t>
            </w:r>
          </w:p>
        </w:tc>
      </w:tr>
      <w:tr>
        <w:trPr>
          <w:trHeight w:val="440"/>
        </w:trPr>
        <w:tc>
          <w:tcPr>
            <w:tcW w:w="1382" w:type="dxa"/>
            <w:vMerge w:val="restart"/>
            <w:tcBorders>
              <w:tl2br w:val="nil"/>
              <w:tr2bl w:val="nil"/>
            </w:tcBorders>
            <w:vAlign w:val="center"/>
          </w:tcPr>
          <w:p>
            <w:pPr>
              <w:pStyle w:val="164"/>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摩尔多瓦</w:t>
            </w:r>
          </w:p>
        </w:tc>
        <w:tc>
          <w:tcPr>
            <w:tcW w:w="659" w:type="dxa"/>
            <w:tcBorders>
              <w:top w:val="single" w:sz="4" w:space="0" w:color="000000"/>
              <w:left w:val="single" w:sz="4" w:space="0" w:color="000000"/>
              <w:right w:val="single" w:sz="4" w:space="0" w:color="000000"/>
            </w:tcBorders>
            <w:vAlign w:val="center"/>
          </w:tcPr>
          <w:p>
            <w:pPr>
              <w:pStyle w:val="253"/>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12131" w:type="dxa"/>
            <w:vAlign w:val="center"/>
          </w:tcPr>
          <w:p>
            <w:pPr>
              <w:pStyle w:val="89"/>
              <w:jc w:val="left"/>
              <w:rPr>
                <w:rFonts w:ascii="宋体" w:cs="宋体"/>
                <w:sz w:val="22"/>
              </w:rPr>
            </w:pPr>
            <w:r>
              <w:rPr>
                <w:rFonts w:ascii="宋体" w:cs="宋体"/>
                <w:sz w:val="22"/>
              </w:rPr>
              <w:t>2025年4月23日第225号政府决定，批准《关于啤酒及啤酒基饮料的法规》。规定了啤酒及啤酒基饮料的生产、包装、标签、营销的具体规则，以及质量和安全要求。</w:t>
            </w:r>
          </w:p>
        </w:tc>
      </w:tr>
      <w:tr>
        <w:trPr>
          <w:trHeight w:val="554"/>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54"/>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12131" w:type="dxa"/>
            <w:vAlign w:val="center"/>
          </w:tcPr>
          <w:p>
            <w:pPr>
              <w:rPr>
                <w:rFonts w:ascii="宋体" w:cs="宋体"/>
                <w:sz w:val="22"/>
              </w:rPr>
            </w:pPr>
            <w:r>
              <w:rPr>
                <w:rFonts w:ascii="宋体" w:cs="宋体"/>
                <w:sz w:val="22"/>
              </w:rPr>
              <w:t>2024年12月23日第881号政府决定，批准《关于啤酒和葡萄酒以外的非蒸馏发酵酒精饮料生产法规》。规定了苹果酒、果酒、水果酒精饮料及水果鸡尾酒的生产、流通、可追溯性保障以及质量和安全的一般性和特殊性条件。</w:t>
            </w:r>
          </w:p>
        </w:tc>
      </w:tr>
      <w:tr>
        <w:trPr>
          <w:trHeight w:val="925"/>
        </w:trPr>
        <w:tc>
          <w:tcPr>
            <w:tcW w:w="1382" w:type="dxa"/>
            <w:tcBorders>
              <w:tl2br w:val="nil"/>
              <w:tr2bl w:val="nil"/>
            </w:tcBorders>
            <w:vAlign w:val="center"/>
          </w:tcPr>
          <w:p>
            <w:pPr>
              <w:pStyle w:val="93"/>
              <w:jc w:val="center"/>
            </w:pPr>
            <w:r>
              <w:t>墨西哥</w:t>
            </w:r>
          </w:p>
        </w:tc>
        <w:tc>
          <w:tcPr>
            <w:tcW w:w="659" w:type="dxa"/>
            <w:tcBorders>
              <w:top w:val="single" w:sz="4" w:space="0" w:color="000000"/>
              <w:left w:val="single" w:sz="4" w:space="0" w:color="000000"/>
              <w:right w:val="single" w:sz="4" w:space="0" w:color="000000"/>
            </w:tcBorders>
            <w:vAlign w:val="center"/>
          </w:tcPr>
          <w:p>
            <w:pPr>
              <w:pStyle w:val="255"/>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12131" w:type="dxa"/>
            <w:vAlign w:val="center"/>
          </w:tcPr>
          <w:p>
            <w:pPr>
              <w:pStyle w:val="168"/>
              <w:jc w:val="left"/>
              <w:rPr>
                <w:rFonts w:ascii="宋体" w:cs="宋体"/>
                <w:sz w:val="22"/>
              </w:rPr>
            </w:pPr>
            <w:r>
              <w:rPr>
                <w:rFonts w:ascii="宋体" w:cs="宋体"/>
                <w:sz w:val="22"/>
              </w:rPr>
              <w:t>墨西哥官方标准草案PROY-NOM-001-NUCL-2025，计算剂量当量和有效剂量当量的因素。墨西哥官方标准草案规定了计算剂量当量和有效剂量当量的标准和因素。这些量值可以量化暴露于电离辐射的风险，保护工作场所工人的健康和生命。它还定义了吸收剂量、辐射质量因子和组织加权因子等基本概念，并包括不同类型辐射和人体器官的参考表。将根据本修改草案中包含的合格评定程序以文件形式审查是否符合规范。</w:t>
            </w:r>
          </w:p>
        </w:tc>
      </w:tr>
      <w:tr>
        <w:trPr>
          <w:trHeight w:val="925"/>
        </w:trPr>
        <w:tc>
          <w:tcPr>
            <w:tcW w:w="1382" w:type="dxa"/>
            <w:vMerge w:val="restart"/>
            <w:tcBorders>
              <w:tl2br w:val="nil"/>
              <w:tr2bl w:val="nil"/>
            </w:tcBorders>
            <w:vAlign w:val="center"/>
          </w:tcPr>
          <w:p>
            <w:pPr>
              <w:pStyle w:val="305"/>
              <w:jc w:val="center"/>
            </w:pPr>
            <w:r>
              <w:t>欧盟</w:t>
            </w:r>
          </w:p>
        </w:tc>
        <w:tc>
          <w:tcPr>
            <w:tcW w:w="659" w:type="dxa"/>
            <w:tcBorders>
              <w:top w:val="single" w:sz="4" w:space="0" w:color="000000"/>
              <w:left w:val="single" w:sz="4" w:space="0" w:color="000000"/>
              <w:right w:val="single" w:sz="4" w:space="0" w:color="000000"/>
            </w:tcBorders>
            <w:vAlign w:val="center"/>
          </w:tcPr>
          <w:p>
            <w:pPr>
              <w:pStyle w:val="256"/>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12131" w:type="dxa"/>
            <w:vAlign w:val="center"/>
          </w:tcPr>
          <w:p>
            <w:pPr>
              <w:pStyle w:val="92"/>
              <w:jc w:val="left"/>
              <w:rPr>
                <w:rFonts w:ascii="宋体" w:cs="宋体"/>
                <w:sz w:val="22"/>
              </w:rPr>
            </w:pPr>
            <w:r>
              <w:rPr>
                <w:rFonts w:ascii="宋体" w:cs="宋体"/>
                <w:sz w:val="22"/>
              </w:rPr>
              <w:t>修订欧洲议会和理事会关于限制使用附件一第6类活性物质二氧化碳的第528/2012号(EU)条例的委员会授权条例草案(EU)；  本委员会授权法规草案修订了欧洲议会和理事会关于限制附件一第6类活性物质二氧化碳使用的第528/2012号(EU)法规。对附件一第6类二氧化碳的相关限制进行修正，代之以新的限制。</w:t>
            </w:r>
          </w:p>
        </w:tc>
      </w:tr>
      <w:tr>
        <w:trPr>
          <w:trHeight w:val="248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57"/>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12131" w:type="dxa"/>
            <w:vAlign w:val="center"/>
          </w:tcPr>
          <w:p>
            <w:pPr>
              <w:jc w:val="left"/>
              <w:rPr>
                <w:rFonts w:ascii="宋体" w:cs="宋体"/>
                <w:sz w:val="22"/>
              </w:rPr>
            </w:pPr>
            <w:r>
              <w:rPr>
                <w:rFonts w:ascii="宋体" w:cs="宋体"/>
                <w:sz w:val="22"/>
              </w:rPr>
              <w:t>根据欧洲议会和理事会第528/2012号(EU)法规，废除第(EU)2024/1283号执行决定的委员会执行决定草案，该决定推迟了顺式三烯-9-烯用于产品类型19的杀生物产品的批准到期日。本委员会执行决定草案废除了顺式-三碳-9-烯作为活性物质用于产品类型19的杀生物产品的批准有效期的推迟。2023年4月6日，根据欧洲议会和理事会（BPR）第528/2012号(EU)法规第13（1）条提交了一份申请，要求更新顺式三烯-tricos-9-ene用于PT19的批准。考虑到评估主管当局的结论，该机构于2025年11月27日通过了其关于PT19顺式-tricos-9-ene的意见。根据管理局的意见，延长顺式三烯-9-烯用于PT19的批准是适当的。因此，正在编写一份实施法规草案，以更新PT19顺式三烯-9-烯的批准（(EU)第182/2011号法规下的审查程序）。除了该实施条例之外，有必要废除顺式三烯-9-烯批准到期日的推迟。因此，本决定草案打算废除(EU)第2024/1283号决定，该决定推迟了PT19顺式三烯-9-烯的批准到期日。</w:t>
            </w:r>
          </w:p>
        </w:tc>
      </w:tr>
      <w:tr>
        <w:trPr>
          <w:trHeight w:val="1861"/>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58"/>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12131" w:type="dxa"/>
            <w:vAlign w:val="center"/>
          </w:tcPr>
          <w:p>
            <w:pPr>
              <w:pStyle w:val="62"/>
              <w:jc w:val="left"/>
              <w:rPr>
                <w:rFonts w:ascii="宋体" w:cs="宋体"/>
                <w:sz w:val="22"/>
              </w:rPr>
            </w:pPr>
            <w:r>
              <w:rPr>
                <w:rFonts w:ascii="宋体" w:cs="宋体"/>
                <w:sz w:val="22"/>
              </w:rPr>
              <w:t>欧盟委员会执行决定，规定了欧洲议会和理事会关于计算、验证和报告一次性塑料饮料瓶中回收塑料含量数据的(EU)2019/904号指令的适用规则，并废除欧盟委员会执行决定(EU)2023/2683。实施决定规定了计算、核实和报告PET瓶中回收含量的规则。欧盟成员国必须应用这些规则来证明符合一次性塑料指令(EU)2019/904第6（5）条中设定的回收塑料含量目标。这些规则取决于所应用的回收技术：对于PET的机械回收，它们基于欧盟食品接触立法已经建立的系统（关于在打算与食品接触的物品中使用回收塑料材料的(EU)法规2022/1616）。对于化学回收，必须应用质量平衡核算，并且化学回收商需要额外的第三方认证。为使产出算作回收成分而进行回收（包括分类）的地理范围是第1（1）条中“回收塑料”定义的一部分。</w:t>
            </w:r>
          </w:p>
        </w:tc>
      </w:tr>
      <w:tr>
        <w:trPr>
          <w:trHeight w:val="248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59"/>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12131" w:type="dxa"/>
            <w:vAlign w:val="center"/>
          </w:tcPr>
          <w:p>
            <w:pPr>
              <w:pStyle w:val="63"/>
              <w:jc w:val="left"/>
              <w:rPr>
                <w:rFonts w:ascii="宋体" w:cs="宋体"/>
                <w:sz w:val="22"/>
              </w:rPr>
            </w:pPr>
            <w:r>
              <w:rPr>
                <w:rFonts w:ascii="宋体" w:cs="宋体"/>
                <w:sz w:val="22"/>
              </w:rPr>
              <w:t>委员会法规草案，修订欧洲议会和理事会关于化学品注册、评估、授权和限制（REACH）的第1907/2006号法规（EC）附件XVII中关于木馏油及相关物质的部分。本法规草案旨在更新第1907/2006号法规（EC）附件XVII现有第31条的内容。对于用于木材处理的木馏油及相关物质，委员会法规草案更新了豁免条件，使其与《生物杀灭剂产品法规》（第528/2012号法规（EU））规定的该物质使用条件保持一致。后者在包装和标签方面的要求比现行第31条的条件更为严格（见附件第2栏第2、3段）。委员会法规草案进一步更新了对使用所列木馏油及相关物质处理过的木材的限制。草案将现有限制与《生物杀灭剂产品法规》中针对首次投放市场的木材的相关规定保持一致。草案还更新了现有限制中关于此类木材后续投放市场的规定，以补充《生物杀灭剂产品法规》的规定——后者仅涵盖木材的首次投放市场。对经木馏油处理木材禁令的豁免涉及此类处理木材的投放市场和使用，仅限于两种用途，即用作铁路枕木或电力和电信用线杆，但仅限于仍允许此类使用的欧盟成员国。</w:t>
            </w:r>
          </w:p>
        </w:tc>
      </w:tr>
      <w:tr>
        <w:trPr>
          <w:trHeight w:val="102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60"/>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12131" w:type="dxa"/>
            <w:vAlign w:val="center"/>
          </w:tcPr>
          <w:p>
            <w:pPr>
              <w:jc w:val="left"/>
              <w:rPr>
                <w:rFonts w:ascii="宋体" w:cs="宋体"/>
                <w:sz w:val="22"/>
              </w:rPr>
            </w:pPr>
            <w:r>
              <w:rPr>
                <w:rFonts w:ascii="宋体" w:cs="宋体"/>
                <w:sz w:val="22"/>
              </w:rPr>
              <w:t>根据欧洲议会和理事会第528/2012号(EU)条例，延长活性物质顺式三烯-9-烯用于产品类型19的杀生物产品的批准的委员会实施条例草案。本委员会实施条例草案延长了顺式三烯-9-烯作为活性物质用于产品类型19的杀生物产品的批准，但须符合某些条件。</w:t>
            </w:r>
          </w:p>
        </w:tc>
      </w:tr>
      <w:tr>
        <w:trPr>
          <w:trHeight w:val="248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61"/>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12131" w:type="dxa"/>
            <w:vAlign w:val="center"/>
          </w:tcPr>
          <w:p>
            <w:pPr>
              <w:jc w:val="left"/>
              <w:rPr>
                <w:rFonts w:ascii="宋体" w:cs="宋体"/>
                <w:sz w:val="22"/>
              </w:rPr>
            </w:pPr>
            <w:r>
              <w:rPr>
                <w:rFonts w:ascii="宋体" w:cs="宋体"/>
                <w:sz w:val="22"/>
              </w:rPr>
              <w:t>根据欧洲议会和理事会第528/2012号(EU)法规，关于不批准由二甲基十八烷基【3-（三甲氧基甲硅烷基）丙基】氯化铵生成的聚（二甲基十八烷基【3-（三羟基甲硅烷基）丙基】氯化铵作为现有活性物质用于产品类型2、7和9的杀生物产品的委员会执行决定草案； 本委员会执行决定草案不批准由二甲基十八烷基【3-（三甲氧基甲硅烷基）丙基】氯化铵生成的聚（二甲基十八烷基【3-（三羟基甲硅烷基）丙基】氯化铵）作为用于产品类型2、7和9的杀生物产品的现有活性物质。由于主要数据差距，包括经验证的分析方法和物质的物理化学性质，该活性物质无法获得批准。由于无法建立可靠的分析方法，因此无法得出关于人类健康和环境风险可接受性的结论。由于同样的原因，无法断定该活性物质是否具有致癌、致突变或生殖毒性。最后，任何评估的产品类型均未证明足够的功效。因此，在做出不批准决定180天后，用该活性物质处理或掺入该活性物质的制品不得在欧盟上市。</w:t>
            </w:r>
          </w:p>
        </w:tc>
      </w:tr>
      <w:tr>
        <w:trPr>
          <w:trHeight w:val="613"/>
        </w:trPr>
        <w:tc>
          <w:tcPr>
            <w:tcW w:w="1382" w:type="dxa"/>
            <w:vMerge w:val="restart"/>
            <w:tcBorders>
              <w:tl2br w:val="nil"/>
              <w:tr2bl w:val="nil"/>
            </w:tcBorders>
            <w:vAlign w:val="center"/>
          </w:tcPr>
          <w:p>
            <w:pPr>
              <w:pStyle w:val="171"/>
              <w:jc w:val="center"/>
              <w:rPr>
                <w:sz w:val="24"/>
              </w:rPr>
            </w:pPr>
            <w:r>
              <w:rPr>
                <w:sz w:val="24"/>
              </w:rPr>
              <w:t>日本</w:t>
            </w:r>
          </w:p>
        </w:tc>
        <w:tc>
          <w:tcPr>
            <w:tcW w:w="659" w:type="dxa"/>
            <w:tcBorders>
              <w:top w:val="single" w:sz="4" w:space="0" w:color="000000"/>
              <w:left w:val="single" w:sz="4" w:space="0" w:color="000000"/>
              <w:right w:val="single" w:sz="4" w:space="0" w:color="000000"/>
            </w:tcBorders>
            <w:vAlign w:val="center"/>
          </w:tcPr>
          <w:p>
            <w:pPr>
              <w:pStyle w:val="262"/>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12131" w:type="dxa"/>
            <w:vAlign w:val="center"/>
          </w:tcPr>
          <w:p>
            <w:pPr>
              <w:jc w:val="left"/>
              <w:rPr>
                <w:rFonts w:ascii="宋体" w:cs="宋体"/>
                <w:sz w:val="22"/>
              </w:rPr>
            </w:pPr>
            <w:r>
              <w:rPr>
                <w:rFonts w:ascii="宋体" w:cs="宋体"/>
                <w:sz w:val="22"/>
              </w:rPr>
              <w:t>根据《确保包括药品和医疗器械在内的产品的质量、功效和安全性法案》，指定Shitei Yakubutsu（指定物质）。关于将4种物质额外指定为Shitei Yakubutsu及其在该法下的适当用途的提案。</w:t>
            </w:r>
          </w:p>
        </w:tc>
      </w:tr>
      <w:tr>
        <w:trPr>
          <w:trHeight w:val="9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63"/>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12131" w:type="dxa"/>
            <w:vAlign w:val="center"/>
          </w:tcPr>
          <w:p>
            <w:pPr>
              <w:jc w:val="left"/>
              <w:rPr>
                <w:rFonts w:ascii="宋体" w:cs="宋体"/>
                <w:sz w:val="22"/>
              </w:rPr>
            </w:pPr>
            <w:r>
              <w:rPr>
                <w:rFonts w:ascii="宋体" w:cs="宋体"/>
                <w:sz w:val="22"/>
              </w:rPr>
              <w:t>关于特定无线电设备技术标准符合性认证的条例》的部分修正案。日本将在《条例》中增加以下类型的特定无线电设备，如轮胎压力监测系统、遥控无钥匙进入系统（超高频频段）、汽车雷达、车载检测传感器、超宽带和无线局域网（2.4GHz / 5.2GHz / 5.6GHz / 6GHz (≤25mW)），将其作为适用自我确认制度的特殊特定无线电设备的目标范围。</w:t>
            </w:r>
          </w:p>
        </w:tc>
      </w:tr>
      <w:tr>
        <w:trPr>
          <w:trHeight w:val="217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64"/>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12131" w:type="dxa"/>
            <w:vAlign w:val="center"/>
          </w:tcPr>
          <w:p>
            <w:pPr>
              <w:jc w:val="left"/>
              <w:rPr>
                <w:rFonts w:ascii="宋体" w:cs="宋体"/>
                <w:sz w:val="22"/>
              </w:rPr>
            </w:pPr>
            <w:r>
              <w:rPr>
                <w:rFonts w:ascii="宋体" w:cs="宋体"/>
                <w:sz w:val="22"/>
              </w:rPr>
              <w:t>拟修订《植物保护法执行条例》、相关通知和细则。 MAFF将修订《植物保护法实施条例》附表1、1-2、2和2-2以及非检疫性有害生物清单，以反映最新的科学证据。1.拟议修订摘要-附件1；2.拟议修订《植物保护法执行条例》附表1中关于检疫害虫清单的规定—附件2；3.拟议修订《植物保护法执行条例》附表1-2，其中列出了将在出口国实施的受特定植物检疫措施约束的植物和其他物体清单—附件3；4.拟议修订《植物保护法执行条例》附表2禁止进口植物清单—附件4；5.拟议修订《植物保护法实施条例》附表2-2禁止进口植物清单（不包括符合要求的植物）—附件5；6.非检疫性有害生物清单的拟议修订—附件6。本修正案实施后，以下紧急通知将被撤回：G/SPS/N/JPN/1326、G/SPS/N/JPN/1335、G/SPS/N/JPN/1360、G/SPS/N/JPN/1376、G/SPS/N/JPN/1379和G/SPS/N/JPN/1385。</w:t>
            </w:r>
          </w:p>
        </w:tc>
      </w:tr>
      <w:tr>
        <w:trPr>
          <w:trHeight w:val="1492"/>
        </w:trPr>
        <w:tc>
          <w:tcPr>
            <w:tcW w:w="1382" w:type="dxa"/>
            <w:tcBorders>
              <w:tl2br w:val="nil"/>
              <w:tr2bl w:val="nil"/>
            </w:tcBorders>
            <w:vAlign w:val="center"/>
          </w:tcPr>
          <w:p>
            <w:pPr>
              <w:pStyle w:val="220"/>
              <w:jc w:val="center"/>
              <w:rPr>
                <w:sz w:val="24"/>
              </w:rPr>
            </w:pPr>
            <w:r>
              <w:rPr>
                <w:sz w:val="24"/>
              </w:rPr>
              <w:t>瑞士</w:t>
            </w:r>
          </w:p>
        </w:tc>
        <w:tc>
          <w:tcPr>
            <w:tcW w:w="659" w:type="dxa"/>
            <w:tcBorders>
              <w:top w:val="single" w:sz="4" w:space="0" w:color="000000"/>
              <w:left w:val="single" w:sz="4" w:space="0" w:color="000000"/>
              <w:right w:val="single" w:sz="4" w:space="0" w:color="000000"/>
            </w:tcBorders>
            <w:vAlign w:val="center"/>
          </w:tcPr>
          <w:p>
            <w:pPr>
              <w:pStyle w:val="265"/>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12131" w:type="dxa"/>
            <w:vAlign w:val="center"/>
          </w:tcPr>
          <w:p>
            <w:pPr>
              <w:jc w:val="left"/>
              <w:rPr>
                <w:rFonts w:ascii="宋体" w:cs="宋体"/>
                <w:sz w:val="22"/>
              </w:rPr>
            </w:pPr>
            <w:r>
              <w:rPr>
                <w:rFonts w:ascii="宋体" w:cs="宋体"/>
                <w:sz w:val="22"/>
              </w:rPr>
              <w:t>食品立法实施条例。《食品立法实施条例》规定了在某些第三国的某些非动物源性食品和饲料进入瑞士时临时加强官方管制的规则。由于真菌毒素（包括黄曲霉毒素、农药残留和微生物污染）的污染风险，从某些第三国进口某些食品和饲料的特殊条件。本实施条例修订了这两个附件，将其更新到已实施的修改中。2026年1月28日委员会实施条例(EU)2026/194修改实施条例(EU)2019/1793关于暂时增加来自某些第三国的某些货物进入欧盟的官方控制和紧急措施的实施条例(EU)2017/625；欧盟委员会实施了欧洲议会和理事会2026年2月24日EC 178/2002号条例，该条例对（EU）2019/1793号实施条例进行了修订，涉及暂时增加对来自中国的花生四烯酸油进入欧盟的官方控制和紧急措施。</w:t>
            </w:r>
          </w:p>
        </w:tc>
      </w:tr>
      <w:tr>
        <w:trPr>
          <w:trHeight w:val="582"/>
        </w:trPr>
        <w:tc>
          <w:tcPr>
            <w:tcW w:w="1382" w:type="dxa"/>
            <w:tcBorders>
              <w:tl2br w:val="nil"/>
              <w:tr2bl w:val="nil"/>
            </w:tcBorders>
            <w:vAlign w:val="center"/>
          </w:tcPr>
          <w:p>
            <w:pPr>
              <w:pStyle w:val="220"/>
              <w:jc w:val="center"/>
              <w:rPr>
                <w:sz w:val="24"/>
              </w:rPr>
            </w:pPr>
            <w:r>
              <w:rPr>
                <w:rFonts w:cs="Lucida Sans"/>
                <w:sz w:val="24"/>
              </w:rPr>
              <w:t>斯洛文尼亚</w:t>
            </w:r>
          </w:p>
        </w:tc>
        <w:tc>
          <w:tcPr>
            <w:tcW w:w="659" w:type="dxa"/>
            <w:tcBorders>
              <w:top w:val="single" w:sz="4" w:space="0" w:color="000000"/>
              <w:left w:val="single" w:sz="4" w:space="0" w:color="000000"/>
              <w:right w:val="single" w:sz="4" w:space="0" w:color="000000"/>
            </w:tcBorders>
            <w:vAlign w:val="center"/>
          </w:tcPr>
          <w:p>
            <w:pPr>
              <w:pStyle w:val="266"/>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12131" w:type="dxa"/>
            <w:vAlign w:val="center"/>
          </w:tcPr>
          <w:p>
            <w:pPr>
              <w:pStyle w:val="220"/>
              <w:jc w:val="left"/>
              <w:rPr>
                <w:rFonts w:ascii="宋体" w:cs="宋体"/>
                <w:sz w:val="22"/>
              </w:rPr>
            </w:pPr>
            <w:r>
              <w:rPr>
                <w:rFonts w:ascii="宋体" w:cs="宋体"/>
                <w:sz w:val="22"/>
              </w:rPr>
              <w:t>儿童保育用品中CMR 1A/1B物质限制规例。该条例暂时限制在斯洛文尼亚共和国市场上销售的儿童保育产品中存在1A或1B类致癌、致突变和对生殖有毒的物质（CMR 1A/1B）。它基于《化学品法》第50条和第51条，是因为对儿童健康有合理的风险而通过的。该法规规定，这些产品在任何均质材料中不得含有浓度≥0.001%（10 mg/kg）的CMR 1A/1B物质，除非对特定物质规定了更严格的限量。也规定了例外情况：二手产品、儿童接触不到的零件和医疗器械。该条例界定了儿童保育产品的概念、制造商、进口商和分销商的义务以及控制方法，其中包括对技术文件和实验室分析的要求。该措施是临时性的，根据法律，政府必须在不迟于一年内对其进行审查，并根据新的调查结果决定其废除、延长或修正。</w:t>
            </w:r>
          </w:p>
        </w:tc>
      </w:tr>
      <w:tr>
        <w:trPr>
          <w:trHeight w:val="682"/>
        </w:trPr>
        <w:tc>
          <w:tcPr>
            <w:tcW w:w="1382" w:type="dxa"/>
            <w:tcBorders>
              <w:tl2br w:val="nil"/>
              <w:tr2bl w:val="nil"/>
            </w:tcBorders>
            <w:vAlign w:val="center"/>
          </w:tcPr>
          <w:p>
            <w:pPr>
              <w:pStyle w:val="220"/>
              <w:jc w:val="center"/>
              <w:rPr>
                <w:sz w:val="24"/>
              </w:rPr>
            </w:pPr>
            <w:r>
              <w:rPr>
                <w:rFonts w:cs="Lucida Sans"/>
                <w:sz w:val="24"/>
              </w:rPr>
              <w:t>沙特阿拉伯</w:t>
            </w:r>
          </w:p>
        </w:tc>
        <w:tc>
          <w:tcPr>
            <w:tcW w:w="659" w:type="dxa"/>
            <w:tcBorders>
              <w:top w:val="single" w:sz="4" w:space="0" w:color="000000"/>
              <w:left w:val="single" w:sz="4" w:space="0" w:color="000000"/>
              <w:right w:val="single" w:sz="4" w:space="0" w:color="000000"/>
            </w:tcBorders>
            <w:vAlign w:val="center"/>
          </w:tcPr>
          <w:p>
            <w:pPr>
              <w:pStyle w:val="267"/>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12131" w:type="dxa"/>
            <w:vAlign w:val="center"/>
          </w:tcPr>
          <w:p>
            <w:pPr>
              <w:jc w:val="left"/>
              <w:rPr>
                <w:rFonts w:ascii="宋体" w:cs="宋体"/>
                <w:sz w:val="22"/>
              </w:rPr>
            </w:pPr>
            <w:r>
              <w:rPr>
                <w:rFonts w:ascii="宋体" w:cs="宋体"/>
                <w:sz w:val="22"/>
              </w:rPr>
              <w:t>SASO 2885：2025-“电动洗衣机-能源和水性能要求及标签”。本通报涉及沙特标准SASO 2885的新修订草案，标题为："电动洗衣机——能源和水性能要求及标签"。本草案采纳了针对先前通报的该标准第1修订版所收到意见而进行的修订。该标准规定了由主电源供电、额定容量不超过25公斤的洗衣机和洗衣干衣机（包括嵌入式单元、多滚筒洗衣机和洗衣干衣机）的最低能效性能要求（MEPS），以及测试、计算和标签程序。其范围还包括由主电源供电但亦可由电池供电的器具。根据收到的技术意见，最终标准草案中已纳入修正和补充内容。</w:t>
            </w:r>
          </w:p>
        </w:tc>
      </w:tr>
      <w:tr>
        <w:trPr>
          <w:trHeight w:val="628"/>
        </w:trPr>
        <w:tc>
          <w:tcPr>
            <w:tcW w:w="1382" w:type="dxa"/>
            <w:tcBorders>
              <w:tl2br w:val="nil"/>
              <w:tr2bl w:val="nil"/>
            </w:tcBorders>
            <w:vAlign w:val="center"/>
          </w:tcPr>
          <w:p>
            <w:pPr>
              <w:pStyle w:val="220"/>
              <w:jc w:val="center"/>
              <w:rPr>
                <w:sz w:val="24"/>
              </w:rPr>
            </w:pPr>
            <w:r>
              <w:rPr>
                <w:rFonts w:cs="Lucida Sans"/>
                <w:sz w:val="24"/>
              </w:rPr>
              <w:t>塞内加尔</w:t>
            </w:r>
          </w:p>
        </w:tc>
        <w:tc>
          <w:tcPr>
            <w:tcW w:w="659" w:type="dxa"/>
            <w:tcBorders>
              <w:top w:val="single" w:sz="4" w:space="0" w:color="000000"/>
              <w:left w:val="single" w:sz="4" w:space="0" w:color="000000"/>
              <w:right w:val="single" w:sz="4" w:space="0" w:color="000000"/>
            </w:tcBorders>
            <w:vAlign w:val="center"/>
          </w:tcPr>
          <w:p>
            <w:pPr>
              <w:pStyle w:val="268"/>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12131" w:type="dxa"/>
            <w:vAlign w:val="center"/>
          </w:tcPr>
          <w:p>
            <w:pPr>
              <w:jc w:val="left"/>
              <w:rPr>
                <w:rFonts w:ascii="宋体" w:cs="宋体"/>
                <w:sz w:val="22"/>
              </w:rPr>
            </w:pPr>
            <w:r>
              <w:rPr>
                <w:rFonts w:ascii="宋体" w:cs="宋体"/>
                <w:sz w:val="22"/>
              </w:rPr>
              <w:t>命令003896强制执行标准NS 01-047铅起动蓄电池。该法令规定了塞内加尔铅起动蓄电池是否符合标准的控制条款。本地制造或进口的起动蓄电池的消费须事先获得国内贸易局的授权。</w:t>
            </w:r>
          </w:p>
        </w:tc>
      </w:tr>
      <w:tr>
        <w:trPr>
          <w:trHeight w:val="833"/>
        </w:trPr>
        <w:tc>
          <w:tcPr>
            <w:tcW w:w="1382" w:type="dxa"/>
            <w:vMerge w:val="restart"/>
            <w:tcBorders>
              <w:tl2br w:val="nil"/>
              <w:tr2bl w:val="nil"/>
            </w:tcBorders>
            <w:vAlign w:val="center"/>
          </w:tcPr>
          <w:p>
            <w:pPr>
              <w:pStyle w:val="220"/>
              <w:jc w:val="center"/>
              <w:rPr>
                <w:sz w:val="24"/>
              </w:rPr>
            </w:pPr>
            <w:r>
              <w:rPr>
                <w:sz w:val="24"/>
              </w:rPr>
              <w:t>坦桑尼亚</w:t>
            </w:r>
          </w:p>
        </w:tc>
        <w:tc>
          <w:tcPr>
            <w:tcW w:w="659" w:type="dxa"/>
            <w:tcBorders>
              <w:top w:val="single" w:sz="4" w:space="0" w:color="000000"/>
              <w:left w:val="single" w:sz="4" w:space="0" w:color="000000"/>
              <w:right w:val="single" w:sz="4" w:space="0" w:color="000000"/>
            </w:tcBorders>
            <w:vAlign w:val="center"/>
          </w:tcPr>
          <w:p>
            <w:pPr>
              <w:pStyle w:val="269"/>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12131" w:type="dxa"/>
            <w:vAlign w:val="center"/>
          </w:tcPr>
          <w:p>
            <w:pPr>
              <w:jc w:val="left"/>
              <w:rPr>
                <w:rFonts w:ascii="宋体" w:cs="宋体"/>
                <w:sz w:val="22"/>
              </w:rPr>
            </w:pPr>
            <w:r>
              <w:rPr>
                <w:rFonts w:ascii="宋体" w:cs="宋体"/>
                <w:sz w:val="22"/>
              </w:rPr>
              <w:t>AFDC 4 (4115) DTZS，《食用牛油果油——规范》，第一版。本坦桑尼亚标准规定了供人类食用的、源自鳄梨果实的食用牛油果油的要求、抽样和测试方法。注： 本坦桑尼亚标准草案也已根据SPS委员会程序进行了通报。</w:t>
            </w:r>
          </w:p>
        </w:tc>
      </w:tr>
      <w:tr>
        <w:trPr>
          <w:trHeight w:val="316"/>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70"/>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4</w:t>
            </w:r>
            <w:r>
              <w:rPr>
                <w:rFonts w:ascii="Times New Roman" w:cs="Times New Roman" w:hAnsi="Times New Roman"/>
                <w:color w:val="000000"/>
                <w:sz w:val="22"/>
                <w:szCs w:val="22"/>
              </w:rPr>
              <w:t>8</w:t>
            </w:r>
          </w:p>
        </w:tc>
        <w:tc>
          <w:tcPr>
            <w:tcW w:w="12131" w:type="dxa"/>
            <w:vAlign w:val="center"/>
          </w:tcPr>
          <w:p>
            <w:pPr>
              <w:jc w:val="left"/>
              <w:rPr>
                <w:rFonts w:ascii="宋体" w:cs="宋体"/>
                <w:sz w:val="22"/>
              </w:rPr>
            </w:pPr>
            <w:r>
              <w:rPr>
                <w:rFonts w:ascii="宋体" w:cs="宋体"/>
                <w:sz w:val="22"/>
              </w:rPr>
              <w:t>CDC10(4308)DTZS，牛皮纸衬板-规范，第二版。本坦桑尼亚标准草案规定了牛皮纸衬板的要求、取样和试验方法。</w:t>
            </w:r>
          </w:p>
        </w:tc>
      </w:tr>
      <w:tr>
        <w:trPr>
          <w:trHeight w:val="708"/>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71"/>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12131" w:type="dxa"/>
            <w:vAlign w:val="center"/>
          </w:tcPr>
          <w:p>
            <w:pPr>
              <w:rPr>
                <w:rFonts w:ascii="宋体" w:cs="宋体" w:hint="eastAsia"/>
                <w:sz w:val="22"/>
              </w:rPr>
            </w:pPr>
            <w:r>
              <w:rPr>
                <w:rFonts w:ascii="宋体" w:cs="宋体"/>
                <w:sz w:val="22"/>
              </w:rPr>
              <w:t>AFDC 19(3879)DTZS，椰子奶粉-规范，第一版。本坦桑尼亚标准规定了从椰子果实中获得的供人食用的椰奶粉的要求、取样和测试方法。注：本坦桑尼亚标准草案也已根据SPS委员会程序进行了通报。</w:t>
            </w:r>
          </w:p>
        </w:tc>
      </w:tr>
      <w:tr>
        <w:trPr>
          <w:trHeight w:val="62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72"/>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0</w:t>
            </w:r>
          </w:p>
        </w:tc>
        <w:tc>
          <w:tcPr>
            <w:tcW w:w="12131" w:type="dxa"/>
            <w:vAlign w:val="center"/>
          </w:tcPr>
          <w:p>
            <w:pPr>
              <w:pStyle w:val="173"/>
              <w:rPr>
                <w:rFonts w:ascii="宋体" w:cs="宋体"/>
                <w:sz w:val="22"/>
              </w:rPr>
            </w:pPr>
            <w:r>
              <w:rPr>
                <w:rFonts w:ascii="宋体" w:cs="宋体"/>
                <w:sz w:val="22"/>
              </w:rPr>
              <w:t>AFDC 4(3878)DTZS，食用米糠油(米油)-规范，第一版。本坦桑尼亚标准规定了米糠油的要求、取样和试验方法。供人食用注：该坦桑尼亚标准草案也已在SPS委员会下通知。</w:t>
            </w:r>
          </w:p>
        </w:tc>
      </w:tr>
      <w:tr>
        <w:trPr>
          <w:trHeight w:val="613"/>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7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1</w:t>
            </w:r>
          </w:p>
        </w:tc>
        <w:tc>
          <w:tcPr>
            <w:tcW w:w="12131" w:type="dxa"/>
            <w:vAlign w:val="center"/>
          </w:tcPr>
          <w:p>
            <w:pPr>
              <w:pStyle w:val="174"/>
              <w:rPr>
                <w:rFonts w:ascii="宋体" w:cs="宋体"/>
                <w:sz w:val="22"/>
              </w:rPr>
            </w:pPr>
            <w:r>
              <w:rPr>
                <w:rFonts w:ascii="宋体" w:cs="宋体"/>
                <w:sz w:val="22"/>
              </w:rPr>
              <w:t>DTZS：2026，鸡肉-规范，第一版。本坦桑尼亚标准规定了供人食用的生鸡肉和五香鸡肉胴体或部分的要求、取样和测试方法。注：本坦桑尼亚标准草案也已在SPS委员会下通知。</w:t>
            </w:r>
          </w:p>
        </w:tc>
      </w:tr>
      <w:tr>
        <w:trPr>
          <w:trHeight w:val="514"/>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74"/>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2</w:t>
            </w:r>
          </w:p>
        </w:tc>
        <w:tc>
          <w:tcPr>
            <w:tcW w:w="12131" w:type="dxa"/>
            <w:vAlign w:val="center"/>
          </w:tcPr>
          <w:p>
            <w:pPr>
              <w:pStyle w:val="64"/>
              <w:jc w:val="left"/>
              <w:rPr>
                <w:rFonts w:ascii="宋体" w:cs="宋体"/>
                <w:sz w:val="22"/>
              </w:rPr>
            </w:pPr>
            <w:r>
              <w:rPr>
                <w:rFonts w:ascii="宋体" w:cs="宋体"/>
                <w:sz w:val="22"/>
              </w:rPr>
              <w:t>DTZS 3967：2026，背包和笔记本电脑包规范，第二版。本坦桑尼亚标准草案规定了各种设计和配置的由纺织品、涂层织物和或皮革材料制成的背包和笔记本电脑包的取样、要求、测试方法、包装和标记。</w:t>
            </w:r>
          </w:p>
        </w:tc>
      </w:tr>
      <w:tr>
        <w:trPr>
          <w:trHeight w:val="988"/>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7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3</w:t>
            </w:r>
          </w:p>
        </w:tc>
        <w:tc>
          <w:tcPr>
            <w:tcW w:w="12131" w:type="dxa"/>
            <w:vAlign w:val="center"/>
          </w:tcPr>
          <w:p>
            <w:pPr>
              <w:jc w:val="left"/>
              <w:rPr>
                <w:rFonts w:ascii="宋体" w:cs="宋体"/>
                <w:sz w:val="22"/>
              </w:rPr>
            </w:pPr>
            <w:r>
              <w:rPr>
                <w:rFonts w:ascii="宋体" w:cs="宋体"/>
                <w:sz w:val="22"/>
              </w:rPr>
              <w:t xml:space="preserve"> CDC 11(3968)DTZS，与食品、药物和饮用水接触的聚氯乙烯(PVC)及其共聚物的成分肯定列表，第二版。 本坦桑尼亚标准草案涵盖了聚氯乙烯成分的肯定清单，即聚合物、共聚物、制造残留物和必要的添加剂，当与食品、药品和饮用水接触时，当存在于规定的浓度限值时，这些成分可被视为安全使用。除了毒理学考虑之外，该肯定列表并不旨在单独确定该成分在特定食品中的适用性。</w:t>
            </w:r>
          </w:p>
        </w:tc>
      </w:tr>
      <w:tr>
        <w:trPr>
          <w:trHeight w:val="622"/>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7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4</w:t>
            </w:r>
          </w:p>
        </w:tc>
        <w:tc>
          <w:tcPr>
            <w:tcW w:w="12131" w:type="dxa"/>
            <w:vAlign w:val="center"/>
          </w:tcPr>
          <w:p>
            <w:pPr>
              <w:pStyle w:val="176"/>
              <w:jc w:val="left"/>
              <w:rPr>
                <w:rFonts w:ascii="宋体" w:cs="宋体"/>
                <w:sz w:val="22"/>
              </w:rPr>
            </w:pPr>
            <w:r>
              <w:rPr>
                <w:rFonts w:ascii="宋体" w:cs="宋体"/>
                <w:sz w:val="22"/>
              </w:rPr>
              <w:t>CDC 11 (3973) DTZS，聚氯乙烯封边带——规范，第一版。本坦桑尼亚标准草案规定了用于家具和室内装饰的聚氯乙烯封边带的要求、抽样和测试方法。</w:t>
            </w:r>
          </w:p>
        </w:tc>
      </w:tr>
      <w:tr>
        <w:trPr>
          <w:trHeight w:val="63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77"/>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5</w:t>
            </w:r>
          </w:p>
        </w:tc>
        <w:tc>
          <w:tcPr>
            <w:tcW w:w="12131" w:type="dxa"/>
            <w:vAlign w:val="center"/>
          </w:tcPr>
          <w:p>
            <w:pPr>
              <w:jc w:val="left"/>
              <w:rPr>
                <w:rFonts w:ascii="宋体" w:cs="宋体"/>
                <w:sz w:val="22"/>
              </w:rPr>
            </w:pPr>
            <w:r>
              <w:rPr>
                <w:rFonts w:ascii="宋体" w:cs="宋体"/>
                <w:sz w:val="22"/>
              </w:rPr>
              <w:t>DTZS 4348：2026，旧纺织产品检验和验收要求第2部分：旧包和钱包，第一版。该坦桑尼亚标准草案规定了用于转售或继续使用的旧包和钱包的要求、抽样和检验标准。它涵盖了所有类别的钱包和包，包括旅行包，背包，笔记本电脑包，手袋等。</w:t>
            </w:r>
          </w:p>
        </w:tc>
      </w:tr>
      <w:tr>
        <w:trPr>
          <w:trHeight w:val="1387"/>
        </w:trPr>
        <w:tc>
          <w:tcPr>
            <w:tcW w:w="1382" w:type="dxa"/>
            <w:tcBorders>
              <w:tl2br w:val="nil"/>
              <w:tr2bl w:val="nil"/>
            </w:tcBorders>
            <w:vAlign w:val="center"/>
          </w:tcPr>
          <w:p>
            <w:pPr>
              <w:pStyle w:val="224"/>
              <w:jc w:val="center"/>
            </w:pPr>
            <w:r>
              <w:t>新西兰</w:t>
            </w:r>
          </w:p>
        </w:tc>
        <w:tc>
          <w:tcPr>
            <w:tcW w:w="659" w:type="dxa"/>
            <w:tcBorders>
              <w:top w:val="single" w:sz="4" w:space="0" w:color="000000"/>
              <w:left w:val="single" w:sz="4" w:space="0" w:color="000000"/>
              <w:right w:val="single" w:sz="4" w:space="0" w:color="000000"/>
            </w:tcBorders>
            <w:vAlign w:val="center"/>
          </w:tcPr>
          <w:p>
            <w:pPr>
              <w:pStyle w:val="278"/>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6</w:t>
            </w:r>
          </w:p>
        </w:tc>
        <w:tc>
          <w:tcPr>
            <w:tcW w:w="12131" w:type="dxa"/>
            <w:vAlign w:val="center"/>
          </w:tcPr>
          <w:p>
            <w:pPr>
              <w:rPr>
                <w:rFonts w:ascii="宋体" w:cs="宋体"/>
                <w:sz w:val="22"/>
              </w:rPr>
            </w:pPr>
            <w:r>
              <w:rPr>
                <w:rFonts w:ascii="宋体" w:cs="宋体"/>
                <w:sz w:val="22"/>
              </w:rPr>
              <w:t>《2025年电力（安全）修正案法规》和《2025年燃气（安全和计量）修正案法规》。对《2010年电力（安全）法规》和《2010年燃气（安全和计量）法规》的修订将更新约440项标准的引用，同时进行一系列技术更新。《2010年电力（安全）法规》和《2010年燃气（安全和计量）法规》为新西兰安全的电力网络、燃气网络、装置、器具及相关配件设定了基准。主要变更包括：更新《2010年电力（安全）法规》附表2中的50项引用，主要更新至同一标准的最新可用版本，包括与太阳能技术相关的标准。更新《2010年电力（安全）法规》附表4中的309项引用，主要更新至同一标准的最新可用版本。在《2010年电力（安全）法规》附表4中引入53项新的引用，涉及一系列技术，包括（但不限于）制冷系统、电动汽车和便携式工具。更新《2010年燃气（安全和计量）法规》附表1中的22项引用，主要更新至同一标准的最新可用版本。除更新引用外，这些变更还将：更新《2010年燃气（安全和计量）法规》中对燃气合规机构的引用，以认可当前的欧洲、澳大利亚和英国燃气认证机构。重组《2010年电力（安全）法规》附表4的部分内容，以更好地对这些法规所涵盖的产品进行分类。这些变更确保法规尽可能保持最新并符合国际标准。这将消除消费者和供应商目前面临的障碍和成本，并使我们与国际同行的要求更加一致。</w:t>
            </w:r>
          </w:p>
        </w:tc>
      </w:tr>
      <w:tr>
        <w:trPr>
          <w:trHeight w:val="1237"/>
        </w:trPr>
        <w:tc>
          <w:tcPr>
            <w:tcW w:w="1382" w:type="dxa"/>
            <w:vMerge w:val="restart"/>
            <w:tcBorders>
              <w:tl2br w:val="nil"/>
              <w:tr2bl w:val="nil"/>
            </w:tcBorders>
            <w:vAlign w:val="center"/>
          </w:tcPr>
          <w:p>
            <w:pPr>
              <w:pStyle w:val="224"/>
              <w:jc w:val="center"/>
            </w:pPr>
            <w:r>
              <w:t>印度</w:t>
            </w:r>
          </w:p>
        </w:tc>
        <w:tc>
          <w:tcPr>
            <w:tcW w:w="659" w:type="dxa"/>
            <w:tcBorders>
              <w:top w:val="single" w:sz="4" w:space="0" w:color="000000"/>
              <w:left w:val="single" w:sz="4" w:space="0" w:color="000000"/>
              <w:right w:val="single" w:sz="4" w:space="0" w:color="000000"/>
            </w:tcBorders>
            <w:vAlign w:val="center"/>
          </w:tcPr>
          <w:p>
            <w:pPr>
              <w:pStyle w:val="279"/>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7</w:t>
            </w:r>
          </w:p>
        </w:tc>
        <w:tc>
          <w:tcPr>
            <w:tcW w:w="12131" w:type="dxa"/>
            <w:vAlign w:val="center"/>
          </w:tcPr>
          <w:p>
            <w:pPr>
              <w:jc w:val="left"/>
              <w:rPr>
                <w:rFonts w:ascii="宋体" w:cs="宋体" w:hint="eastAsia"/>
                <w:sz w:val="22"/>
              </w:rPr>
            </w:pPr>
            <w:r>
              <w:rPr>
                <w:rFonts w:ascii="宋体" w:cs="宋体"/>
                <w:sz w:val="22"/>
              </w:rPr>
              <w:t>2025年手摇纺织机标志标准（标签和展示）条例。 “草案-2025年手摇纺织机标志标准（标签和展示）条例”是一份监管框架草案，拟根据纺织部1963年《纺织委员会法》第23节发布，并与1999年《商标法》的认证商标条款保持一致。该法规旨在管理印度手摇纺织机标志的使用、标签、展示、监控和执行。该文件建立了一个全面的法律和行政机制来规范手摇纺织机产品的真实性声明。</w:t>
            </w:r>
          </w:p>
        </w:tc>
      </w:tr>
      <w:tr>
        <w:trPr>
          <w:trHeight w:val="94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80"/>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8</w:t>
            </w:r>
          </w:p>
        </w:tc>
        <w:tc>
          <w:tcPr>
            <w:tcW w:w="12131" w:type="dxa"/>
            <w:vAlign w:val="center"/>
          </w:tcPr>
          <w:p>
            <w:pPr>
              <w:jc w:val="left"/>
              <w:rPr>
                <w:rFonts w:ascii="宋体" w:cs="宋体" w:hint="eastAsia"/>
                <w:sz w:val="22"/>
              </w:rPr>
            </w:pPr>
            <w:r>
              <w:rPr>
                <w:rFonts w:ascii="宋体" w:cs="宋体"/>
                <w:sz w:val="22"/>
              </w:rPr>
              <w:t>“物联网网关”测试指南的通报（测试指南草案编号TEC 33011：2026）。根据GR No.TEC 33010：2025，本建议的测试指南文件列举了用于评估IoT网关的一致性、功能、要求和性能的详细测试时间表和测试程序，用于有线或无线（蜂窝或非蜂窝）通信技术，包括用于从一种协议转换到另一种协议并访问蜂窝或非蜂窝通信网络的短程技术（NFC、RFID等）。</w:t>
            </w:r>
          </w:p>
        </w:tc>
      </w:tr>
      <w:tr>
        <w:trPr>
          <w:trHeight w:val="1861"/>
        </w:trPr>
        <w:tc>
          <w:tcPr>
            <w:tcW w:w="1382" w:type="dxa"/>
            <w:tcBorders>
              <w:tl2br w:val="nil"/>
              <w:tr2bl w:val="nil"/>
            </w:tcBorders>
            <w:vAlign w:val="center"/>
          </w:tcPr>
          <w:p>
            <w:pPr>
              <w:pStyle w:val="183"/>
              <w:jc w:val="center"/>
            </w:pPr>
            <w:r>
              <w:rPr>
                <w:rFonts w:ascii="宋体" w:cs="宋体"/>
                <w:sz w:val="22"/>
              </w:rPr>
              <w:t>印度尼西亚</w:t>
            </w:r>
          </w:p>
        </w:tc>
        <w:tc>
          <w:tcPr>
            <w:tcW w:w="659" w:type="dxa"/>
            <w:tcBorders>
              <w:top w:val="single" w:sz="4" w:space="0" w:color="000000"/>
              <w:left w:val="single" w:sz="4" w:space="0" w:color="000000"/>
              <w:right w:val="single" w:sz="4" w:space="0" w:color="000000"/>
            </w:tcBorders>
            <w:vAlign w:val="center"/>
          </w:tcPr>
          <w:p>
            <w:pPr>
              <w:pStyle w:val="281"/>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12131" w:type="dxa"/>
            <w:vAlign w:val="center"/>
          </w:tcPr>
          <w:p>
            <w:pPr>
              <w:jc w:val="left"/>
              <w:rPr>
                <w:rFonts w:ascii="宋体" w:cs="宋体"/>
                <w:sz w:val="22"/>
              </w:rPr>
            </w:pPr>
            <w:r>
              <w:rPr>
                <w:rFonts w:ascii="宋体" w:cs="宋体"/>
                <w:sz w:val="22"/>
              </w:rPr>
              <w:t>印度尼西亚检疫局鱼类检疫代表关于原产国出口商登记程序的2025年第13号法令。印度尼西亚检疫局鱼类检疫代表2025年第13号法令规定了打算向印度尼西亚共和国出口鱼类和渔业产品的原产国出口商的登记程序，作为边境前措施风险控制工具，以确保鱼类健康、生物安保、可追溯性以及渔业产品的安全和质量。该条例规定了登记的程序或阶段，其中包括与出口国主管当局的协调和双边沟通、调查表的提交和评估（国家和出口商）、现场审计的实施以及登记建议的审查和确定。它进一步规定了商品范围的增加、注册有效期的延长、定期监测和评估，以及在不符合最低要求的情况下暂停或拒绝的机制。印度尼西亚检疫局（IQA）将向所有符合印度尼西亚规定的鱼类和渔业产品进口检疫要求的原产国出口商发放注册号。此外，根据2019年关于动物、鱼类和植物检疫的第21号法律的授权，IQA作为印度尼西亚的边境主管当局，并根据2024年第34号政府条例作为兽医检疫当局，IQA在动物、鱼类和植物商品的出口、进口和区域间流动以及确保进入印度尼西亚的产品健康安全供人食用方面发挥着重要作用。关于本条例规定的生效，IQA给予12（十二）个月的宽限期，自本条例通知世贸组织秘书处之日起算。</w:t>
            </w:r>
          </w:p>
        </w:tc>
      </w:tr>
      <w:tr>
        <w:trPr>
          <w:trHeight w:val="922"/>
        </w:trPr>
        <w:tc>
          <w:tcPr>
            <w:tcW w:w="1382" w:type="dxa"/>
            <w:tcBorders>
              <w:tl2br w:val="nil"/>
              <w:tr2bl w:val="nil"/>
            </w:tcBorders>
            <w:vAlign w:val="center"/>
          </w:tcPr>
          <w:p>
            <w:pPr>
              <w:pStyle w:val="183"/>
              <w:jc w:val="center"/>
            </w:pPr>
            <w:r>
              <w:t>印度</w:t>
            </w:r>
          </w:p>
        </w:tc>
        <w:tc>
          <w:tcPr>
            <w:tcW w:w="659" w:type="dxa"/>
            <w:tcBorders>
              <w:top w:val="single" w:sz="4" w:space="0" w:color="000000"/>
              <w:left w:val="single" w:sz="4" w:space="0" w:color="000000"/>
              <w:right w:val="single" w:sz="4" w:space="0" w:color="000000"/>
            </w:tcBorders>
            <w:vAlign w:val="center"/>
          </w:tcPr>
          <w:p>
            <w:pPr>
              <w:pStyle w:val="282"/>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0</w:t>
            </w:r>
          </w:p>
        </w:tc>
        <w:tc>
          <w:tcPr>
            <w:tcW w:w="12131" w:type="dxa"/>
            <w:vAlign w:val="center"/>
          </w:tcPr>
          <w:p>
            <w:pPr>
              <w:jc w:val="left"/>
              <w:rPr>
                <w:rFonts w:ascii="宋体" w:cs="宋体"/>
                <w:sz w:val="22"/>
              </w:rPr>
            </w:pPr>
            <w:r>
              <w:rPr>
                <w:rFonts w:ascii="宋体" w:cs="宋体"/>
                <w:sz w:val="22"/>
              </w:rPr>
              <w:t>2026年能源相关产品生态设计（局部空间加热器及独立相关控制装置）法规。透明度通知，旨在告知各成员，英国政府正就更新和改善大不列颠局部空间加热器生态设计的提案进行磋商。这些提案的目标是提高局部空间加热器产品的效率，从而减少碳排放并降低消费者账单。</w:t>
            </w:r>
          </w:p>
        </w:tc>
      </w:tr>
      <w:tr>
        <w:trPr>
          <w:trHeight w:val="948"/>
        </w:trPr>
        <w:tc>
          <w:tcPr>
            <w:tcW w:w="1382" w:type="dxa"/>
            <w:vMerge w:val="restart"/>
            <w:tcBorders>
              <w:tl2br w:val="nil"/>
              <w:tr2bl w:val="nil"/>
            </w:tcBorders>
            <w:vAlign w:val="center"/>
          </w:tcPr>
          <w:p>
            <w:pPr>
              <w:pStyle w:val="183"/>
              <w:jc w:val="center"/>
            </w:pPr>
            <w:r>
              <w:t>越南</w:t>
            </w:r>
          </w:p>
        </w:tc>
        <w:tc>
          <w:tcPr>
            <w:tcW w:w="659" w:type="dxa"/>
            <w:tcBorders>
              <w:top w:val="single" w:sz="4" w:space="0" w:color="000000"/>
              <w:left w:val="single" w:sz="4" w:space="0" w:color="000000"/>
              <w:right w:val="single" w:sz="4" w:space="0" w:color="000000"/>
            </w:tcBorders>
            <w:vAlign w:val="center"/>
          </w:tcPr>
          <w:p>
            <w:pPr>
              <w:pStyle w:val="28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1</w:t>
            </w:r>
          </w:p>
        </w:tc>
        <w:tc>
          <w:tcPr>
            <w:tcW w:w="12131" w:type="dxa"/>
            <w:vAlign w:val="center"/>
          </w:tcPr>
          <w:p>
            <w:pPr>
              <w:jc w:val="left"/>
              <w:rPr>
                <w:rFonts w:ascii="宋体" w:cs="宋体"/>
                <w:sz w:val="22"/>
              </w:rPr>
            </w:pPr>
            <w:r>
              <w:rPr>
                <w:rFonts w:ascii="宋体" w:cs="宋体"/>
                <w:sz w:val="22"/>
              </w:rPr>
              <w:t>化妆品管理法令草案。该法令草案规范了化妆品的管理，包括：a)化妆品的申报；b)在越南制造化妆品；c)进口化妆品的管理和出口化妆品自由销售证明的签发；d)化妆品的产品信息档案、标签和广告；e)在线档案、程序和记录保存；f)检查、监测和确保化妆品的安全和质量；g)召回化妆品，撤销化妆品声明书的注册号，停止接受化妆品声明申请。该法令草案适用于在越南参与化妆品相关活动的国内外机构、组织和个人。</w:t>
            </w:r>
          </w:p>
        </w:tc>
      </w:tr>
      <w:tr>
        <w:trPr>
          <w:trHeight w:val="1237"/>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84"/>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12131" w:type="dxa"/>
            <w:vAlign w:val="center"/>
          </w:tcPr>
          <w:p>
            <w:pPr>
              <w:jc w:val="left"/>
              <w:rPr>
                <w:rFonts w:ascii="宋体" w:cs="宋体"/>
                <w:sz w:val="22"/>
              </w:rPr>
            </w:pPr>
            <w:r>
              <w:rPr>
                <w:rFonts w:ascii="宋体" w:cs="宋体"/>
                <w:sz w:val="22"/>
              </w:rPr>
              <w:t>关于汽油、柴油和生物燃料的国家技术法规草案。本技术法规草案规定了汽油、柴油燃料油和生物燃料的安全、健康、环境技术规范的限值以及质量管理要求，包括无铅汽油、汽油醇E5、汽油醇E10-柴油燃料油、生物柴油B5-生物燃料：变性燃料乙醇、未变性燃料乙醇、生物柴油燃料混合原料。该技术法规草案适用于越南参与生产、贸易、加工、进口和分销汽油、柴油燃料油和生物燃料的企业、组织和个人。本技术法规草案应取代QCVN 01:20 22/BKHCN。</w:t>
            </w:r>
          </w:p>
        </w:tc>
      </w:tr>
      <w:tr>
        <w:trPr>
          <w:trHeight w:val="993"/>
        </w:trPr>
        <w:tc>
          <w:tcPr>
            <w:tcW w:w="1382" w:type="dxa"/>
            <w:tcBorders>
              <w:tl2br w:val="nil"/>
              <w:tr2bl w:val="nil"/>
            </w:tcBorders>
            <w:vAlign w:val="center"/>
          </w:tcPr>
          <w:p>
            <w:pPr>
              <w:pStyle w:val="183"/>
              <w:jc w:val="center"/>
            </w:pPr>
            <w:r>
              <w:t>智利</w:t>
            </w:r>
          </w:p>
        </w:tc>
        <w:tc>
          <w:tcPr>
            <w:tcW w:w="659" w:type="dxa"/>
            <w:tcBorders>
              <w:top w:val="single" w:sz="4" w:space="0" w:color="000000"/>
              <w:left w:val="single" w:sz="4" w:space="0" w:color="000000"/>
              <w:right w:val="single" w:sz="4" w:space="0" w:color="000000"/>
            </w:tcBorders>
            <w:vAlign w:val="center"/>
          </w:tcPr>
          <w:p>
            <w:pPr>
              <w:pStyle w:val="285"/>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12131" w:type="dxa"/>
            <w:vAlign w:val="center"/>
          </w:tcPr>
          <w:p>
            <w:pPr>
              <w:pStyle w:val="185"/>
              <w:jc w:val="left"/>
              <w:rPr>
                <w:rFonts w:ascii="宋体" w:cs="宋体"/>
                <w:sz w:val="22"/>
              </w:rPr>
            </w:pPr>
            <w:r>
              <w:rPr>
                <w:rFonts w:ascii="宋体" w:cs="宋体"/>
                <w:sz w:val="22"/>
              </w:rPr>
              <w:t>锅炉排放标准初稿。本文件介绍了锅炉排放标准初稿，目前正处于公众咨询阶段。其目的是控制锅炉中颗粒物、氮氧化物、二氧化硫和汞的排放，以预防和保护公众健康和环境。该法规是智利第一个全国性法规，将适用于全国范围内的新能源和现有能源，包括热电联产系统和带辅助燃烧的回热锅炉。</w:t>
            </w:r>
          </w:p>
        </w:tc>
      </w:tr>
      <w:tr>
        <w:trPr>
          <w:trHeight w:val="2173"/>
        </w:trPr>
        <w:tc>
          <w:tcPr>
            <w:tcW w:w="1382" w:type="dxa"/>
            <w:vMerge w:val="restart"/>
            <w:tcBorders>
              <w:tl2br w:val="nil"/>
              <w:tr2bl w:val="nil"/>
            </w:tcBorders>
            <w:vAlign w:val="center"/>
          </w:tcPr>
          <w:p>
            <w:pPr>
              <w:pStyle w:val="183"/>
              <w:jc w:val="center"/>
            </w:pPr>
            <w:r>
              <w:t>乌克兰</w:t>
            </w:r>
          </w:p>
        </w:tc>
        <w:tc>
          <w:tcPr>
            <w:tcW w:w="659" w:type="dxa"/>
            <w:tcBorders>
              <w:top w:val="single" w:sz="4" w:space="0" w:color="000000"/>
              <w:left w:val="single" w:sz="4" w:space="0" w:color="000000"/>
              <w:right w:val="single" w:sz="4" w:space="0" w:color="000000"/>
            </w:tcBorders>
            <w:vAlign w:val="center"/>
          </w:tcPr>
          <w:p>
            <w:pPr>
              <w:pStyle w:val="286"/>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12131" w:type="dxa"/>
            <w:vAlign w:val="center"/>
          </w:tcPr>
          <w:p>
            <w:pPr>
              <w:pStyle w:val="186"/>
              <w:jc w:val="left"/>
              <w:rPr>
                <w:rFonts w:ascii="宋体" w:cs="宋体"/>
                <w:sz w:val="22"/>
              </w:rPr>
            </w:pPr>
            <w:r>
              <w:rPr>
                <w:rFonts w:ascii="宋体" w:cs="宋体"/>
                <w:sz w:val="22"/>
              </w:rPr>
              <w:t>乌克兰内阁关于"批准在封闭系统内进行遗传工程活动的风险程度评估标准"的决议草案。乌克兰内阁"关于批准在封闭系统中进行遗传工程活动的风险程度评估标准"的决议草案是根据乌克兰"关于国家管理遗传工程活动和国家控制将转基因生物和转基因产品投放市场"的法律制定的，目的是确保遗传工程经营者采取一切适当措施，防止在封闭系统中使用转基因生物可能对人类健康和环境造成的任何不利影响。与文件G/TBT/N/UKR/343中通知的先前版本相比，修订后的标准草案特别引入了关键术语的定义，并包括了关于封闭系统中遗传工程活动风险评估要素和相应风险评估程序的额外规定。它还完善了确定遗传工程操作者开展的活动的风险水平的标准，并纳入了编辑修正案。该决议草案旨在建立一个在封闭系统中负责任和有控制地使用转基因生物的框架，并确保与欧盟标准保持一致。</w:t>
            </w:r>
          </w:p>
        </w:tc>
      </w:tr>
      <w:tr>
        <w:trPr>
          <w:trHeight w:val="690"/>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87"/>
              <w:jc w:val="center"/>
              <w:rPr>
                <w:rFonts w:ascii="Times New Roman" w:cs="Times New Roman" w:hAnsi="Times New Roman"/>
                <w:color w:val="000000"/>
                <w:sz w:val="22"/>
                <w:szCs w:val="22"/>
              </w:rPr>
            </w:pPr>
            <w:r>
              <w:rPr>
                <w:rFonts w:ascii="Times New Roman" w:cs="Times New Roman" w:hAnsi="Times New Roman"/>
                <w:color w:val="000000"/>
                <w:sz w:val="22"/>
                <w:szCs w:val="22"/>
              </w:rPr>
              <w:t>65</w:t>
            </w:r>
          </w:p>
        </w:tc>
        <w:tc>
          <w:tcPr>
            <w:tcW w:w="12131" w:type="dxa"/>
            <w:vAlign w:val="center"/>
          </w:tcPr>
          <w:p>
            <w:pPr>
              <w:pStyle w:val="187"/>
              <w:jc w:val="left"/>
              <w:rPr>
                <w:rFonts w:ascii="宋体" w:cs="宋体"/>
                <w:sz w:val="22"/>
              </w:rPr>
            </w:pPr>
            <w:r>
              <w:rPr>
                <w:rFonts w:ascii="宋体" w:cs="宋体"/>
                <w:sz w:val="22"/>
              </w:rPr>
              <w:t>乌克兰经济、环境和农业部“关于乌克兰农业政策和食品部2024年2月14日第391号命令修正案”的命令草案。该命令草案规定对乌克兰农业政策和食品部2024年2月14日第391号命令“关于批准果酱、果冻、果酱和甜栗子泥的要求”（在文件G/TBT/N/UKR/238/Add.1中通知）进行修订，并在新版本中列出这些要求。拟议的新版本的要求特别规定了以下补充：可以分别使用名称“marmalade”和“marmalade extra”而不是食品名称“jam”和“jam extra”,除非jam和jam extra由柑橘类水果制成；在果酱和额外果酱的生产中增加最小总水果含量，从而减少在这些产品中实现最小可溶性干物质含量所需的添加糖的量，并有助于更健康的营养；在果酱、果冻的生产中添加适当浓缩果汁的可能性，以及添加符合食品添加剂要求的食品添加剂，由乌克兰卫生部2024年1月8日第45号令“关于批准食品香料要求、食品添加剂要求和食品酶要求”批准。该命令草案还提议排除关于在水果原料加工中使用二氧化硫（E 220）或其盐（E 221、E 222、E 223、E 224、E 226和E 227）的规定。</w:t>
            </w:r>
          </w:p>
        </w:tc>
      </w:tr>
      <w:tr>
        <w:trPr>
          <w:trHeight w:val="2485"/>
        </w:trPr>
        <w:tc>
          <w:tcPr>
            <w:tcW w:w="1383" w:type="dxa"/>
            <w:vMerge/>
            <w:tcBorders>
              <w:tl2br w:val="nil"/>
              <w:tr2bl w:val="nil"/>
            </w:tcBorders>
            <w:vAlign w:val="center"/>
          </w:tcPr>
          <w:p/>
        </w:tc>
        <w:tc>
          <w:tcPr>
            <w:tcW w:w="659" w:type="dxa"/>
            <w:tcBorders>
              <w:top w:val="single" w:sz="4" w:space="0" w:color="000000"/>
              <w:left w:val="single" w:sz="4" w:space="0" w:color="000000"/>
              <w:right w:val="single" w:sz="4" w:space="0" w:color="000000"/>
            </w:tcBorders>
            <w:vAlign w:val="center"/>
          </w:tcPr>
          <w:p>
            <w:pPr>
              <w:pStyle w:val="288"/>
              <w:jc w:val="center"/>
              <w:rPr>
                <w:rFonts w:ascii="Times New Roman" w:cs="Times New Roman" w:hAnsi="Times New Roman"/>
                <w:color w:val="000000"/>
                <w:sz w:val="22"/>
                <w:szCs w:val="22"/>
              </w:rPr>
            </w:pPr>
            <w:r>
              <w:rPr>
                <w:rFonts w:ascii="Times New Roman" w:cs="Times New Roman" w:hAnsi="Times New Roman"/>
                <w:color w:val="000000"/>
                <w:sz w:val="22"/>
                <w:szCs w:val="22"/>
              </w:rPr>
              <w:t>66</w:t>
            </w:r>
          </w:p>
        </w:tc>
        <w:tc>
          <w:tcPr>
            <w:tcW w:w="12131" w:type="dxa"/>
            <w:vAlign w:val="center"/>
          </w:tcPr>
          <w:p>
            <w:pPr>
              <w:pStyle w:val="188"/>
              <w:jc w:val="left"/>
              <w:rPr>
                <w:rFonts w:ascii="宋体" w:cs="宋体"/>
                <w:sz w:val="22"/>
              </w:rPr>
            </w:pPr>
            <w:r>
              <w:rPr>
                <w:rFonts w:ascii="宋体" w:cs="宋体"/>
                <w:sz w:val="22"/>
              </w:rPr>
              <w:t>乌克兰经济、环境和农业部“关于对用于制造出售给消费者的鞋类主要部件的材料进行标签的技术条例附件2的修正案”的命令草案。该命令草案提议对乌克兰经济发展和贸易部2019年3月6日第358号命令批准的关于对用于制造出售给消费者的鞋类主要部件的材料进行标签的技术法规附件2进行修订。该修正案引入了一个新段落，与欧洲议会和理事会1994年3月23日第94/11/EC号指令附件2的最后一段保持一致，该指令涉及成员国关于销售给消费者的鞋类主要部件所用材料标签的法律、法规和行政规定的近似性，同时考虑到国家立法。拟议的段落如下：“关于对用于制造出售给消费者的鞋类主要部件的材料进行标签的技术条例的范围扩大到属于乌克兰对外经济活动货物分类（UKT ZED）第64组的产品，根据“鞋类”一词的定义，这些产品属于本附件所列的鞋类类型，同时考虑到上述技术条例第4段的规定”。该命令草案旨在确保技术法规与指令94/11/EC完全一致。</w:t>
            </w:r>
          </w:p>
        </w:tc>
      </w:tr>
    </w:tbl>
    <w:p>
      <w:pPr>
        <w:autoSpaceDN w:val="0"/>
        <w:adjustRightInd w:val="0"/>
        <w:snapToGrid w:val="0"/>
        <w:spacing w:line="560" w:lineRule="exact"/>
        <w:ind w:firstLineChars="265" w:firstLine="848"/>
        <w:rPr>
          <w:rFonts w:ascii="方正仿宋_GBK" w:eastAsia="方正仿宋_GBK" w:cs="Times New Roman"/>
          <w:sz w:val="32"/>
          <w:szCs w:val="32"/>
        </w:rPr>
      </w:pPr>
      <w:r>
        <w:rPr>
          <w:rStyle w:val="19Char"/>
          <w:rFonts w:ascii="方正仿宋_GBK" w:eastAsia="方正仿宋_GBK" w:cs="方正仿宋_GBK" w:hint="eastAsia"/>
          <w:kern w:val="0"/>
          <w:sz w:val="32"/>
          <w:szCs w:val="32"/>
        </w:rPr>
        <w:t>感谢关注武汉海关的技术性贸易措施工作！后期，我们将持续收集和更新</w:t>
      </w:r>
      <w:r>
        <w:rPr>
          <w:rFonts w:ascii="方正仿宋_GBK" w:eastAsia="方正仿宋_GBK" w:cs="方正仿宋_GBK" w:hint="eastAsia"/>
          <w:sz w:val="32"/>
          <w:szCs w:val="32"/>
        </w:rPr>
        <w:t>各国（地区）技术性贸易措施</w:t>
      </w:r>
      <w:r>
        <w:rPr>
          <w:rStyle w:val="19Char"/>
          <w:rFonts w:ascii="方正仿宋_GBK" w:eastAsia="方正仿宋_GBK" w:cs="方正仿宋_GBK" w:hint="eastAsia"/>
          <w:kern w:val="0"/>
          <w:sz w:val="32"/>
          <w:szCs w:val="32"/>
        </w:rPr>
        <w:t>，</w:t>
      </w:r>
      <w:r>
        <w:rPr>
          <w:rFonts w:ascii="方正仿宋_GBK" w:eastAsia="方正仿宋_GBK" w:cs="方正仿宋_GBK" w:hint="eastAsia"/>
          <w:sz w:val="32"/>
          <w:szCs w:val="32"/>
        </w:rPr>
        <w:t>根据需要及时向社会公布</w:t>
      </w:r>
      <w:r>
        <w:rPr>
          <w:rStyle w:val="19Char"/>
          <w:rFonts w:ascii="方正仿宋_GBK" w:eastAsia="方正仿宋_GBK" w:cs="方正仿宋_GBK" w:hint="eastAsia"/>
          <w:kern w:val="0"/>
          <w:sz w:val="32"/>
          <w:szCs w:val="32"/>
        </w:rPr>
        <w:t>，优化营商环境，</w:t>
      </w:r>
      <w:r>
        <w:rPr>
          <w:rFonts w:ascii="方正仿宋_GBK" w:eastAsia="方正仿宋_GBK" w:cs="方正仿宋_GBK" w:hint="eastAsia"/>
          <w:sz w:val="32"/>
          <w:szCs w:val="32"/>
        </w:rPr>
        <w:t>做好稳外贸稳外资工作，服务外贸企业，帮助企业有效应对，降低技术性贸易措施带来的影响和损失。</w:t>
      </w:r>
    </w:p>
    <w:p>
      <w:pPr>
        <w:pStyle w:val="20"/>
        <w:ind w:firstLineChars="200" w:firstLine="640"/>
        <w:jc w:val="center"/>
        <w:rPr>
          <w:rFonts w:ascii="方正仿宋_GBK" w:eastAsia="方正仿宋_GBK" w:cs="Times New Roman"/>
          <w:sz w:val="32"/>
          <w:szCs w:val="32"/>
        </w:rPr>
      </w:pPr>
      <w:r>
        <w:rPr>
          <w:rFonts w:ascii="方正仿宋_GBK" w:eastAsia="方正仿宋_GBK" w:cs="方正仿宋_GBK" w:hint="eastAsia"/>
          <w:sz w:val="32"/>
          <w:szCs w:val="32"/>
        </w:rPr>
        <w:t xml:space="preserve">                                                               武汉海关</w:t>
      </w:r>
    </w:p>
    <w:p>
      <w:pPr>
        <w:autoSpaceDN w:val="0"/>
        <w:ind w:right="480" w:firstLineChars="200" w:firstLine="640"/>
        <w:jc w:val="right"/>
        <w:rPr>
          <w:rFonts w:cs="Times New Roman"/>
        </w:rPr>
      </w:pPr>
      <w:r>
        <w:rPr>
          <w:rFonts w:ascii="Times New Roman" w:eastAsia="方正仿宋_GBK" w:cs="Times New Roman" w:hAnsi="Times New Roman"/>
          <w:sz w:val="32"/>
          <w:szCs w:val="32"/>
        </w:rPr>
        <w:t>2026</w:t>
      </w:r>
      <w:r>
        <w:rPr>
          <w:rFonts w:ascii="Times New Roman" w:eastAsia="方正仿宋_GBK" w:cs="方正仿宋_GBK" w:hAnsi="Times New Roman" w:hint="eastAsia"/>
          <w:sz w:val="32"/>
          <w:szCs w:val="32"/>
        </w:rPr>
        <w:t>年</w:t>
      </w:r>
      <w:r>
        <w:rPr>
          <w:rFonts w:ascii="Times New Roman" w:eastAsia="方正仿宋_GBK" w:cs="Times New Roman" w:hAnsi="Times New Roman"/>
          <w:sz w:val="32"/>
          <w:szCs w:val="32"/>
        </w:rPr>
        <w:t>4</w:t>
      </w:r>
      <w:r>
        <w:rPr>
          <w:rFonts w:ascii="Times New Roman" w:eastAsia="方正仿宋_GBK" w:cs="方正仿宋_GBK" w:hAnsi="Times New Roman" w:hint="eastAsia"/>
          <w:sz w:val="32"/>
          <w:szCs w:val="32"/>
        </w:rPr>
        <w:t>月</w:t>
      </w:r>
      <w:r>
        <w:rPr>
          <w:rFonts w:ascii="Times New Roman" w:eastAsia="方正仿宋_GBK" w:cs="Times New Roman" w:hAnsi="Times New Roman"/>
          <w:sz w:val="32"/>
          <w:szCs w:val="32"/>
        </w:rPr>
        <w:t>20</w:t>
      </w:r>
      <w:r>
        <w:rPr>
          <w:rFonts w:ascii="Times New Roman" w:eastAsia="方正仿宋_GBK" w:cs="方正仿宋_GBK" w:hAnsi="Times New Roman" w:hint="eastAsia"/>
          <w:sz w:val="32"/>
          <w:szCs w:val="32"/>
        </w:rPr>
        <w:t>日</w:t>
      </w:r>
    </w:p>
    <w:sectPr>
      <w:pgSz w:w="16838" w:h="11906" w:orient="landscape"/>
      <w:pgMar w:top="1800" w:right="1440" w:bottom="1800"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16"/>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style>
  <w:style w:type="character" w:customStyle="1" w:styleId="18">
    <w:name w:val="im-content1"/>
    <w:basedOn w:val="10"/>
    <w:rPr>
      <w:color w:val="000000"/>
    </w:rPr>
  </w:style>
  <w:style w:type="paragraph" w:customStyle="1" w:styleId="19">
    <w:name w:val="样式"/>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1 10 磅"/>
    <w:pPr>
      <w:widowControl w:val="0"/>
      <w:jc w:val="both"/>
    </w:pPr>
    <w:rPr>
      <w:rFonts w:ascii="Calibri" w:eastAsia="宋体" w:cs="Calibri" w:hAnsi="Calibri"/>
      <w:kern w:val="2"/>
      <w:sz w:val="21"/>
      <w:szCs w:val="21"/>
      <w:lang w:val="en-US" w:eastAsia="zh-CN" w:bidi="ar-SA"/>
    </w:rPr>
  </w:style>
  <w:style w:type="character" w:customStyle="1" w:styleId="21">
    <w:name w:val="font21"/>
    <w:basedOn w:val="10"/>
    <w:rPr>
      <w:rFonts w:ascii="宋体" w:eastAsia="宋体" w:cs="宋体"/>
      <w:color w:val="000000"/>
      <w:sz w:val="18"/>
      <w:szCs w:val="18"/>
      <w:u w:val="none"/>
    </w:rPr>
  </w:style>
  <w:style w:type="character" w:customStyle="1" w:styleId="22">
    <w:name w:val="font31"/>
    <w:basedOn w:val="10"/>
    <w:rPr>
      <w:rFonts w:ascii="Calibri" w:cs="Calibri" w:hAnsi="Calibri"/>
      <w:color w:val="000000"/>
      <w:sz w:val="18"/>
      <w:szCs w:val="18"/>
      <w:u w:val="none"/>
    </w:rPr>
  </w:style>
  <w:style w:type="character" w:customStyle="1" w:styleId="23">
    <w:name w:val="font11"/>
    <w:basedOn w:val="10"/>
    <w:rPr>
      <w:rFonts w:ascii="Times New Roman" w:cs="Times New Roman" w:hAnsi="Times New Roman"/>
      <w:color w:val="000000"/>
      <w:sz w:val="24"/>
      <w:szCs w:val="24"/>
      <w:u w:val="none"/>
    </w:rPr>
  </w:style>
  <w:style w:type="character" w:customStyle="1" w:styleId="24">
    <w:name w:val="font51"/>
    <w:basedOn w:val="10"/>
    <w:rPr>
      <w:rFonts w:ascii="方正仿宋_GBK" w:eastAsia="方正仿宋_GBK" w:cs="方正仿宋_GBK"/>
      <w:color w:val="000000"/>
      <w:sz w:val="24"/>
      <w:szCs w:val="24"/>
      <w:u w:val="none"/>
    </w:rPr>
  </w:style>
  <w:style w:type="character" w:customStyle="1" w:styleId="25">
    <w:name w:val="font41"/>
    <w:basedOn w:val="10"/>
    <w:rPr>
      <w:rFonts w:ascii="方正仿宋_GBK" w:eastAsia="方正仿宋_GBK" w:cs="方正仿宋_GBK"/>
      <w:color w:val="000000"/>
      <w:sz w:val="24"/>
      <w:szCs w:val="24"/>
      <w:u w:val="none"/>
    </w:rPr>
  </w:style>
  <w:style w:type="character" w:customStyle="1" w:styleId="26">
    <w:name w:val="font61"/>
    <w:basedOn w:val="10"/>
    <w:rPr>
      <w:rFonts w:ascii="方正仿宋_GBK" w:eastAsia="方正仿宋_GBK" w:cs="方正仿宋_GBK"/>
      <w:color w:val="4D4D4D"/>
      <w:sz w:val="24"/>
      <w:szCs w:val="24"/>
      <w:u w:val="none"/>
    </w:rPr>
  </w:style>
  <w:style w:type="character" w:customStyle="1" w:styleId="27">
    <w:name w:val="font01"/>
    <w:basedOn w:val="10"/>
    <w:rPr>
      <w:rFonts w:ascii="宋体" w:eastAsia="宋体" w:cs="宋体"/>
      <w:color w:val="000000"/>
      <w:sz w:val="22"/>
      <w:szCs w:val="22"/>
      <w:u w:val="none"/>
    </w:rPr>
  </w:style>
  <w:style w:type="character" w:customStyle="1" w:styleId="28">
    <w:name w:val="font71"/>
    <w:basedOn w:val="10"/>
    <w:rPr>
      <w:rFonts w:ascii="Times New Roman" w:cs="Times New Roman" w:hAnsi="Times New Roman"/>
      <w:color w:val="auto"/>
      <w:sz w:val="32"/>
      <w:szCs w:val="32"/>
      <w:u w:val="none"/>
    </w:rPr>
  </w:style>
  <w:style w:type="character" w:customStyle="1" w:styleId="29">
    <w:name w:val="font81"/>
    <w:basedOn w:val="10"/>
    <w:rPr>
      <w:rFonts w:ascii="Times New Roman" w:cs="Times New Roman" w:hAnsi="Times New Roman"/>
      <w:color w:val="000000"/>
      <w:sz w:val="32"/>
      <w:szCs w:val="32"/>
      <w:u w:val="none"/>
    </w:rPr>
  </w:style>
  <w:style w:type="paragraph" w:customStyle="1" w:styleId="30">
    <w:name w:val="样式 10 磅"/>
    <w:pPr>
      <w:widowControl w:val="0"/>
      <w:jc w:val="both"/>
    </w:pPr>
    <w:rPr>
      <w:rFonts w:ascii="Calibri" w:eastAsia="宋体" w:cs="Calibri" w:hAnsi="Calibri"/>
      <w:kern w:val="2"/>
      <w:sz w:val="21"/>
      <w:szCs w:val="21"/>
      <w:lang w:val="en-US" w:eastAsia="zh-CN" w:bidi="ar-SA"/>
    </w:rPr>
  </w:style>
  <w:style w:type="paragraph" w:customStyle="1" w:styleId="31">
    <w:name w:val="样式 2 10 磅"/>
    <w:pPr>
      <w:widowControl w:val="0"/>
      <w:jc w:val="both"/>
    </w:pPr>
    <w:rPr>
      <w:rFonts w:ascii="Calibri" w:eastAsia="宋体" w:cs="Calibri" w:hAnsi="Calibri"/>
      <w:kern w:val="2"/>
      <w:sz w:val="21"/>
      <w:szCs w:val="21"/>
      <w:lang w:val="en-US" w:eastAsia="zh-CN" w:bidi="ar-SA"/>
    </w:rPr>
  </w:style>
  <w:style w:type="character" w:styleId="32">
    <w:name w:val="Hyperlink"/>
    <w:basedOn w:val="10"/>
    <w:rPr>
      <w:color w:val="0000FF"/>
      <w:u w:val="single"/>
    </w:rPr>
  </w:style>
  <w:style w:type="paragraph" w:customStyle="1" w:styleId="33">
    <w:name w:val="样式 3 10 磅"/>
    <w:pPr>
      <w:widowControl w:val="0"/>
      <w:jc w:val="both"/>
    </w:pPr>
    <w:rPr>
      <w:rFonts w:ascii="Calibri" w:eastAsia="宋体" w:cs="Calibri" w:hAnsi="Calibri"/>
      <w:kern w:val="2"/>
      <w:sz w:val="21"/>
      <w:szCs w:val="21"/>
      <w:lang w:val="en-US" w:eastAsia="zh-CN" w:bidi="ar-SA"/>
    </w:rPr>
  </w:style>
  <w:style w:type="paragraph" w:customStyle="1" w:styleId="34">
    <w:name w:val="样式 4 10 磅"/>
    <w:pPr>
      <w:widowControl w:val="0"/>
      <w:jc w:val="both"/>
    </w:pPr>
    <w:rPr>
      <w:rFonts w:ascii="Calibri" w:eastAsia="宋体" w:cs="Calibri" w:hAnsi="Calibri"/>
      <w:kern w:val="2"/>
      <w:sz w:val="21"/>
      <w:szCs w:val="21"/>
      <w:lang w:val="en-US" w:eastAsia="zh-CN" w:bidi="ar-SA"/>
    </w:rPr>
  </w:style>
  <w:style w:type="paragraph" w:customStyle="1" w:styleId="35">
    <w:name w:val="样式 5 10 磅"/>
    <w:pPr>
      <w:widowControl w:val="0"/>
      <w:jc w:val="both"/>
    </w:pPr>
    <w:rPr>
      <w:rFonts w:ascii="Calibri" w:eastAsia="宋体" w:cs="Calibri" w:hAnsi="Calibri"/>
      <w:kern w:val="2"/>
      <w:sz w:val="21"/>
      <w:szCs w:val="21"/>
      <w:lang w:val="en-US" w:eastAsia="zh-CN" w:bidi="ar-SA"/>
    </w:rPr>
  </w:style>
  <w:style w:type="paragraph" w:customStyle="1" w:styleId="36">
    <w:name w:val="样式 6 10 磅"/>
    <w:pPr>
      <w:widowControl w:val="0"/>
      <w:jc w:val="both"/>
    </w:pPr>
    <w:rPr>
      <w:rFonts w:ascii="Calibri" w:eastAsia="宋体" w:cs="Calibri" w:hAnsi="Calibri"/>
      <w:kern w:val="2"/>
      <w:sz w:val="21"/>
      <w:szCs w:val="21"/>
      <w:lang w:val="en-US" w:eastAsia="zh-CN" w:bidi="ar-SA"/>
    </w:rPr>
  </w:style>
  <w:style w:type="paragraph" w:customStyle="1" w:styleId="37">
    <w:name w:val="样式 7 10 磅"/>
    <w:pPr>
      <w:widowControl w:val="0"/>
      <w:jc w:val="both"/>
    </w:pPr>
    <w:rPr>
      <w:rFonts w:ascii="Calibri" w:eastAsia="宋体" w:cs="Calibri" w:hAnsi="Calibri"/>
      <w:kern w:val="2"/>
      <w:sz w:val="21"/>
      <w:szCs w:val="21"/>
      <w:lang w:val="en-US" w:eastAsia="zh-CN" w:bidi="ar-SA"/>
    </w:rPr>
  </w:style>
  <w:style w:type="paragraph" w:customStyle="1" w:styleId="38">
    <w:name w:val="样式 8 10 磅"/>
    <w:pPr>
      <w:widowControl w:val="0"/>
      <w:jc w:val="both"/>
    </w:pPr>
    <w:rPr>
      <w:rFonts w:ascii="Calibri" w:eastAsia="宋体" w:cs="Calibri" w:hAnsi="Calibri"/>
      <w:kern w:val="2"/>
      <w:sz w:val="21"/>
      <w:szCs w:val="21"/>
      <w:lang w:val="en-US" w:eastAsia="zh-CN" w:bidi="ar-SA"/>
    </w:rPr>
  </w:style>
  <w:style w:type="paragraph" w:customStyle="1" w:styleId="39">
    <w:name w:val="样式 9 10 磅"/>
    <w:pPr>
      <w:widowControl w:val="0"/>
      <w:jc w:val="both"/>
    </w:pPr>
    <w:rPr>
      <w:rFonts w:ascii="Calibri" w:eastAsia="宋体" w:cs="Calibri" w:hAnsi="Calibri"/>
      <w:kern w:val="2"/>
      <w:sz w:val="21"/>
      <w:szCs w:val="21"/>
      <w:lang w:val="en-US" w:eastAsia="zh-CN" w:bidi="ar-SA"/>
    </w:rPr>
  </w:style>
  <w:style w:type="paragraph" w:customStyle="1" w:styleId="40">
    <w:name w:val="样式 10 10 磅"/>
    <w:pPr>
      <w:widowControl w:val="0"/>
      <w:jc w:val="both"/>
    </w:pPr>
    <w:rPr>
      <w:rFonts w:ascii="Calibri" w:eastAsia="宋体" w:cs="Calibri" w:hAnsi="Calibri"/>
      <w:kern w:val="2"/>
      <w:sz w:val="21"/>
      <w:szCs w:val="21"/>
      <w:lang w:val="en-US" w:eastAsia="zh-CN" w:bidi="ar-SA"/>
    </w:rPr>
  </w:style>
  <w:style w:type="paragraph" w:customStyle="1" w:styleId="41">
    <w:name w:val="样式 11 10 磅"/>
    <w:pPr>
      <w:widowControl w:val="0"/>
      <w:jc w:val="both"/>
    </w:pPr>
    <w:rPr>
      <w:rFonts w:ascii="Calibri" w:eastAsia="宋体" w:cs="Calibri" w:hAnsi="Calibri"/>
      <w:kern w:val="2"/>
      <w:sz w:val="21"/>
      <w:szCs w:val="21"/>
      <w:lang w:val="en-US" w:eastAsia="zh-CN" w:bidi="ar-SA"/>
    </w:rPr>
  </w:style>
  <w:style w:type="paragraph" w:customStyle="1" w:styleId="42">
    <w:name w:val="样式 12 10 磅"/>
    <w:pPr>
      <w:widowControl w:val="0"/>
      <w:jc w:val="both"/>
    </w:pPr>
    <w:rPr>
      <w:rFonts w:ascii="Calibri" w:eastAsia="宋体" w:cs="Calibri" w:hAnsi="Calibri"/>
      <w:kern w:val="2"/>
      <w:sz w:val="21"/>
      <w:szCs w:val="21"/>
      <w:lang w:val="en-US" w:eastAsia="zh-CN" w:bidi="ar-SA"/>
    </w:rPr>
  </w:style>
  <w:style w:type="paragraph" w:customStyle="1" w:styleId="43">
    <w:name w:val="样式 13 10 磅"/>
    <w:pPr>
      <w:widowControl w:val="0"/>
      <w:jc w:val="both"/>
    </w:pPr>
    <w:rPr>
      <w:rFonts w:ascii="Calibri" w:eastAsia="宋体" w:cs="Calibri" w:hAnsi="Calibri"/>
      <w:kern w:val="2"/>
      <w:sz w:val="21"/>
      <w:szCs w:val="21"/>
      <w:lang w:val="en-US" w:eastAsia="zh-CN" w:bidi="ar-SA"/>
    </w:rPr>
  </w:style>
  <w:style w:type="paragraph" w:customStyle="1" w:styleId="44">
    <w:name w:val="样式 14 10 磅"/>
    <w:pPr>
      <w:widowControl w:val="0"/>
      <w:jc w:val="both"/>
    </w:pPr>
    <w:rPr>
      <w:rFonts w:ascii="Calibri" w:eastAsia="宋体" w:cs="Calibri" w:hAnsi="Calibri"/>
      <w:kern w:val="2"/>
      <w:sz w:val="21"/>
      <w:szCs w:val="21"/>
      <w:lang w:val="en-US" w:eastAsia="zh-CN" w:bidi="ar-SA"/>
    </w:rPr>
  </w:style>
  <w:style w:type="paragraph" w:customStyle="1" w:styleId="45">
    <w:name w:val="样式 15 10 磅"/>
    <w:pPr>
      <w:widowControl w:val="0"/>
      <w:jc w:val="both"/>
    </w:pPr>
    <w:rPr>
      <w:rFonts w:ascii="Calibri" w:eastAsia="宋体" w:cs="Calibri" w:hAnsi="Calibri"/>
      <w:kern w:val="2"/>
      <w:sz w:val="21"/>
      <w:szCs w:val="21"/>
      <w:lang w:val="en-US" w:eastAsia="zh-CN" w:bidi="ar-SA"/>
    </w:rPr>
  </w:style>
  <w:style w:type="paragraph" w:customStyle="1" w:styleId="46">
    <w:name w:val="样式 16 10 磅"/>
    <w:pPr>
      <w:widowControl w:val="0"/>
      <w:jc w:val="both"/>
    </w:pPr>
    <w:rPr>
      <w:rFonts w:ascii="Calibri" w:eastAsia="宋体" w:cs="Calibri" w:hAnsi="Calibri"/>
      <w:kern w:val="2"/>
      <w:sz w:val="21"/>
      <w:szCs w:val="21"/>
      <w:lang w:val="en-US" w:eastAsia="zh-CN" w:bidi="ar-SA"/>
    </w:rPr>
  </w:style>
  <w:style w:type="paragraph" w:customStyle="1" w:styleId="47">
    <w:name w:val="样式 17 10 磅"/>
    <w:pPr>
      <w:widowControl w:val="0"/>
      <w:jc w:val="both"/>
    </w:pPr>
    <w:rPr>
      <w:rFonts w:ascii="Calibri" w:eastAsia="宋体" w:cs="Calibri" w:hAnsi="Calibri"/>
      <w:kern w:val="2"/>
      <w:sz w:val="21"/>
      <w:szCs w:val="21"/>
      <w:lang w:val="en-US" w:eastAsia="zh-CN" w:bidi="ar-SA"/>
    </w:rPr>
  </w:style>
  <w:style w:type="paragraph" w:customStyle="1" w:styleId="48">
    <w:name w:val="样式 18 10 磅"/>
    <w:pPr>
      <w:widowControl w:val="0"/>
      <w:jc w:val="both"/>
    </w:pPr>
    <w:rPr>
      <w:rFonts w:ascii="Calibri" w:eastAsia="宋体" w:cs="Calibri" w:hAnsi="Calibri"/>
      <w:kern w:val="2"/>
      <w:sz w:val="21"/>
      <w:szCs w:val="21"/>
      <w:lang w:val="en-US" w:eastAsia="zh-CN" w:bidi="ar-SA"/>
    </w:rPr>
  </w:style>
  <w:style w:type="paragraph" w:customStyle="1" w:styleId="49">
    <w:name w:val="样式 19 10 磅"/>
    <w:pPr>
      <w:widowControl w:val="0"/>
      <w:jc w:val="both"/>
    </w:pPr>
    <w:rPr>
      <w:rFonts w:ascii="Calibri" w:eastAsia="宋体" w:cs="Calibri" w:hAnsi="Calibri"/>
      <w:kern w:val="2"/>
      <w:sz w:val="21"/>
      <w:szCs w:val="21"/>
      <w:lang w:val="en-US" w:eastAsia="zh-CN" w:bidi="ar-SA"/>
    </w:rPr>
  </w:style>
  <w:style w:type="paragraph" w:customStyle="1" w:styleId="50">
    <w:name w:val="样式 20 10 磅"/>
    <w:pPr>
      <w:widowControl w:val="0"/>
      <w:jc w:val="both"/>
    </w:pPr>
    <w:rPr>
      <w:rFonts w:ascii="Calibri" w:eastAsia="宋体" w:cs="Calibri" w:hAnsi="Calibri"/>
      <w:kern w:val="2"/>
      <w:sz w:val="21"/>
      <w:szCs w:val="21"/>
      <w:lang w:val="en-US" w:eastAsia="zh-CN" w:bidi="ar-SA"/>
    </w:rPr>
  </w:style>
  <w:style w:type="paragraph" w:customStyle="1" w:styleId="51">
    <w:name w:val="样式 21 10 磅"/>
    <w:pPr>
      <w:widowControl w:val="0"/>
      <w:jc w:val="both"/>
    </w:pPr>
    <w:rPr>
      <w:rFonts w:ascii="Calibri" w:eastAsia="宋体" w:cs="Calibri" w:hAnsi="Calibri"/>
      <w:kern w:val="2"/>
      <w:sz w:val="21"/>
      <w:szCs w:val="21"/>
      <w:lang w:val="en-US" w:eastAsia="zh-CN" w:bidi="ar-SA"/>
    </w:rPr>
  </w:style>
  <w:style w:type="paragraph" w:customStyle="1" w:styleId="52">
    <w:name w:val="样式 22 10 磅"/>
    <w:pPr>
      <w:widowControl w:val="0"/>
      <w:jc w:val="both"/>
    </w:pPr>
    <w:rPr>
      <w:rFonts w:ascii="Calibri" w:eastAsia="宋体" w:cs="Calibri" w:hAnsi="Calibri"/>
      <w:kern w:val="2"/>
      <w:sz w:val="21"/>
      <w:szCs w:val="21"/>
      <w:lang w:val="en-US" w:eastAsia="zh-CN" w:bidi="ar-SA"/>
    </w:rPr>
  </w:style>
  <w:style w:type="paragraph" w:customStyle="1" w:styleId="53">
    <w:name w:val="样式 23 10 磅"/>
    <w:pPr>
      <w:widowControl w:val="0"/>
      <w:jc w:val="both"/>
    </w:pPr>
    <w:rPr>
      <w:rFonts w:ascii="Calibri" w:eastAsia="宋体" w:cs="Calibri" w:hAnsi="Calibri"/>
      <w:kern w:val="2"/>
      <w:sz w:val="21"/>
      <w:szCs w:val="21"/>
      <w:lang w:val="en-US" w:eastAsia="zh-CN" w:bidi="ar-SA"/>
    </w:rPr>
  </w:style>
  <w:style w:type="paragraph" w:customStyle="1" w:styleId="54">
    <w:name w:val="样式 24 10 磅"/>
    <w:pPr>
      <w:widowControl w:val="0"/>
      <w:jc w:val="both"/>
    </w:pPr>
    <w:rPr>
      <w:rFonts w:ascii="Calibri" w:eastAsia="宋体" w:cs="Calibri" w:hAnsi="Calibri"/>
      <w:kern w:val="2"/>
      <w:sz w:val="21"/>
      <w:szCs w:val="21"/>
      <w:lang w:val="en-US" w:eastAsia="zh-CN" w:bidi="ar-SA"/>
    </w:rPr>
  </w:style>
  <w:style w:type="paragraph" w:customStyle="1" w:styleId="55">
    <w:name w:val="样式 25 10 磅"/>
    <w:pPr>
      <w:widowControl w:val="0"/>
      <w:jc w:val="both"/>
    </w:pPr>
    <w:rPr>
      <w:rFonts w:ascii="Calibri" w:eastAsia="宋体" w:cs="Calibri" w:hAnsi="Calibri"/>
      <w:kern w:val="2"/>
      <w:sz w:val="21"/>
      <w:szCs w:val="21"/>
      <w:lang w:val="en-US" w:eastAsia="zh-CN" w:bidi="ar-SA"/>
    </w:rPr>
  </w:style>
  <w:style w:type="paragraph" w:customStyle="1" w:styleId="56">
    <w:name w:val="样式 26 10 磅"/>
    <w:pPr>
      <w:widowControl w:val="0"/>
      <w:jc w:val="both"/>
    </w:pPr>
    <w:rPr>
      <w:rFonts w:ascii="Calibri" w:eastAsia="宋体" w:cs="Calibri" w:hAnsi="Calibri"/>
      <w:kern w:val="2"/>
      <w:sz w:val="21"/>
      <w:szCs w:val="21"/>
      <w:lang w:val="en-US" w:eastAsia="zh-CN" w:bidi="ar-SA"/>
    </w:rPr>
  </w:style>
  <w:style w:type="paragraph" w:customStyle="1" w:styleId="57">
    <w:name w:val="样式 27 10 磅"/>
    <w:pPr>
      <w:widowControl w:val="0"/>
      <w:jc w:val="both"/>
    </w:pPr>
    <w:rPr>
      <w:rFonts w:ascii="Calibri" w:eastAsia="宋体" w:cs="Calibri" w:hAnsi="Calibri"/>
      <w:kern w:val="2"/>
      <w:sz w:val="21"/>
      <w:szCs w:val="21"/>
      <w:lang w:val="en-US" w:eastAsia="zh-CN" w:bidi="ar-SA"/>
    </w:rPr>
  </w:style>
  <w:style w:type="paragraph" w:customStyle="1" w:styleId="58">
    <w:name w:val="样式 28 10 磅"/>
    <w:pPr>
      <w:widowControl w:val="0"/>
      <w:jc w:val="both"/>
    </w:pPr>
    <w:rPr>
      <w:rFonts w:ascii="Calibri" w:eastAsia="宋体" w:cs="Calibri" w:hAnsi="Calibri"/>
      <w:kern w:val="2"/>
      <w:sz w:val="21"/>
      <w:szCs w:val="21"/>
      <w:lang w:val="en-US" w:eastAsia="zh-CN" w:bidi="ar-SA"/>
    </w:rPr>
  </w:style>
  <w:style w:type="paragraph" w:customStyle="1" w:styleId="59">
    <w:name w:val="样式 29 10 磅"/>
    <w:pPr>
      <w:widowControl w:val="0"/>
      <w:jc w:val="both"/>
    </w:pPr>
    <w:rPr>
      <w:rFonts w:ascii="Calibri" w:eastAsia="宋体" w:cs="Calibri" w:hAnsi="Calibri"/>
      <w:kern w:val="2"/>
      <w:sz w:val="21"/>
      <w:szCs w:val="21"/>
      <w:lang w:val="en-US" w:eastAsia="zh-CN" w:bidi="ar-SA"/>
    </w:rPr>
  </w:style>
  <w:style w:type="paragraph" w:customStyle="1" w:styleId="60">
    <w:name w:val="样式 30 10 磅"/>
    <w:pPr>
      <w:widowControl w:val="0"/>
      <w:jc w:val="both"/>
    </w:pPr>
    <w:rPr>
      <w:rFonts w:ascii="Calibri" w:eastAsia="宋体" w:cs="Calibri" w:hAnsi="Calibri"/>
      <w:kern w:val="2"/>
      <w:sz w:val="21"/>
      <w:szCs w:val="21"/>
      <w:lang w:val="en-US" w:eastAsia="zh-CN" w:bidi="ar-SA"/>
    </w:rPr>
  </w:style>
  <w:style w:type="paragraph" w:customStyle="1" w:styleId="61">
    <w:name w:val="样式 31 10 磅"/>
    <w:pPr>
      <w:widowControl w:val="0"/>
      <w:jc w:val="both"/>
    </w:pPr>
    <w:rPr>
      <w:rFonts w:ascii="Calibri" w:eastAsia="宋体" w:cs="Calibri" w:hAnsi="Calibri"/>
      <w:kern w:val="2"/>
      <w:sz w:val="21"/>
      <w:szCs w:val="21"/>
      <w:lang w:val="en-US" w:eastAsia="zh-CN" w:bidi="ar-SA"/>
    </w:rPr>
  </w:style>
  <w:style w:type="paragraph" w:customStyle="1" w:styleId="62">
    <w:name w:val="样式 32 10 磅"/>
    <w:pPr>
      <w:widowControl w:val="0"/>
      <w:jc w:val="both"/>
    </w:pPr>
    <w:rPr>
      <w:rFonts w:ascii="Calibri" w:eastAsia="宋体" w:cs="Calibri" w:hAnsi="Calibri"/>
      <w:kern w:val="2"/>
      <w:sz w:val="21"/>
      <w:szCs w:val="21"/>
      <w:lang w:val="en-US" w:eastAsia="zh-CN" w:bidi="ar-SA"/>
    </w:rPr>
  </w:style>
  <w:style w:type="paragraph" w:customStyle="1" w:styleId="63">
    <w:name w:val="样式 33 10 磅"/>
    <w:pPr>
      <w:widowControl w:val="0"/>
      <w:jc w:val="both"/>
    </w:pPr>
    <w:rPr>
      <w:rFonts w:ascii="Calibri" w:eastAsia="宋体" w:cs="Calibri" w:hAnsi="Calibri"/>
      <w:kern w:val="2"/>
      <w:sz w:val="21"/>
      <w:szCs w:val="21"/>
      <w:lang w:val="en-US" w:eastAsia="zh-CN" w:bidi="ar-SA"/>
    </w:rPr>
  </w:style>
  <w:style w:type="paragraph" w:customStyle="1" w:styleId="64">
    <w:name w:val="样式 34 10 磅"/>
    <w:pPr>
      <w:widowControl w:val="0"/>
      <w:jc w:val="both"/>
    </w:pPr>
    <w:rPr>
      <w:rFonts w:ascii="Calibri" w:eastAsia="宋体" w:cs="Calibri" w:hAnsi="Calibri"/>
      <w:kern w:val="2"/>
      <w:sz w:val="21"/>
      <w:szCs w:val="21"/>
      <w:lang w:val="en-US" w:eastAsia="zh-CN" w:bidi="ar-SA"/>
    </w:rPr>
  </w:style>
  <w:style w:type="paragraph" w:customStyle="1" w:styleId="65">
    <w:name w:val="样式 35 10 磅"/>
    <w:pPr>
      <w:widowControl w:val="0"/>
      <w:jc w:val="both"/>
    </w:pPr>
    <w:rPr>
      <w:rFonts w:ascii="Calibri" w:eastAsia="宋体" w:cs="Calibri" w:hAnsi="Calibri"/>
      <w:kern w:val="2"/>
      <w:sz w:val="21"/>
      <w:szCs w:val="21"/>
      <w:lang w:val="en-US" w:eastAsia="zh-CN" w:bidi="ar-SA"/>
    </w:rPr>
  </w:style>
  <w:style w:type="paragraph" w:customStyle="1" w:styleId="66">
    <w:name w:val="样式 36 10 磅"/>
    <w:pPr>
      <w:widowControl w:val="0"/>
      <w:jc w:val="both"/>
    </w:pPr>
    <w:rPr>
      <w:rFonts w:ascii="Calibri" w:eastAsia="宋体" w:cs="Calibri" w:hAnsi="Calibri"/>
      <w:kern w:val="2"/>
      <w:sz w:val="21"/>
      <w:szCs w:val="21"/>
      <w:lang w:val="en-US" w:eastAsia="zh-CN" w:bidi="ar-SA"/>
    </w:rPr>
  </w:style>
  <w:style w:type="paragraph" w:customStyle="1" w:styleId="67">
    <w:name w:val="样式 37 10 磅"/>
    <w:pPr>
      <w:widowControl w:val="0"/>
      <w:jc w:val="both"/>
    </w:pPr>
    <w:rPr>
      <w:rFonts w:ascii="Calibri" w:eastAsia="宋体" w:cs="Calibri" w:hAnsi="Calibri"/>
      <w:kern w:val="2"/>
      <w:sz w:val="21"/>
      <w:szCs w:val="21"/>
      <w:lang w:val="en-US" w:eastAsia="zh-CN" w:bidi="ar-SA"/>
    </w:rPr>
  </w:style>
  <w:style w:type="paragraph" w:customStyle="1" w:styleId="68">
    <w:name w:val="样式 38 10 磅"/>
    <w:pPr>
      <w:widowControl w:val="0"/>
      <w:jc w:val="both"/>
    </w:pPr>
    <w:rPr>
      <w:rFonts w:ascii="Calibri" w:eastAsia="宋体" w:cs="Calibri" w:hAnsi="Calibri"/>
      <w:kern w:val="2"/>
      <w:sz w:val="21"/>
      <w:szCs w:val="21"/>
      <w:lang w:val="en-US" w:eastAsia="zh-CN" w:bidi="ar-SA"/>
    </w:rPr>
  </w:style>
  <w:style w:type="paragraph" w:customStyle="1" w:styleId="69">
    <w:name w:val="样式 39 10 磅"/>
    <w:pPr>
      <w:widowControl w:val="0"/>
      <w:jc w:val="both"/>
    </w:pPr>
    <w:rPr>
      <w:rFonts w:ascii="Calibri" w:eastAsia="宋体" w:cs="Calibri" w:hAnsi="Calibri"/>
      <w:kern w:val="2"/>
      <w:sz w:val="21"/>
      <w:szCs w:val="21"/>
      <w:lang w:val="en-US" w:eastAsia="zh-CN" w:bidi="ar-SA"/>
    </w:rPr>
  </w:style>
  <w:style w:type="paragraph" w:customStyle="1" w:styleId="70">
    <w:name w:val="样式 40 10 磅"/>
    <w:pPr>
      <w:widowControl w:val="0"/>
      <w:jc w:val="both"/>
    </w:pPr>
    <w:rPr>
      <w:rFonts w:ascii="Calibri" w:eastAsia="宋体" w:cs="Calibri" w:hAnsi="Calibri"/>
      <w:kern w:val="2"/>
      <w:sz w:val="21"/>
      <w:szCs w:val="21"/>
      <w:lang w:val="en-US" w:eastAsia="zh-CN" w:bidi="ar-SA"/>
    </w:rPr>
  </w:style>
  <w:style w:type="paragraph" w:customStyle="1" w:styleId="71">
    <w:name w:val="样式 41 10 磅"/>
    <w:pPr>
      <w:widowControl w:val="0"/>
      <w:jc w:val="both"/>
    </w:pPr>
    <w:rPr>
      <w:rFonts w:ascii="Calibri" w:eastAsia="宋体" w:cs="Calibri" w:hAnsi="Calibri"/>
      <w:kern w:val="2"/>
      <w:sz w:val="21"/>
      <w:szCs w:val="21"/>
      <w:lang w:val="en-US" w:eastAsia="zh-CN" w:bidi="ar-SA"/>
    </w:rPr>
  </w:style>
  <w:style w:type="paragraph" w:customStyle="1" w:styleId="72">
    <w:name w:val="样式 42 10 磅"/>
    <w:pPr>
      <w:widowControl w:val="0"/>
      <w:jc w:val="both"/>
    </w:pPr>
    <w:rPr>
      <w:rFonts w:ascii="Calibri" w:eastAsia="宋体" w:cs="Calibri" w:hAnsi="Calibri"/>
      <w:kern w:val="2"/>
      <w:sz w:val="21"/>
      <w:szCs w:val="21"/>
      <w:lang w:val="en-US" w:eastAsia="zh-CN" w:bidi="ar-SA"/>
    </w:rPr>
  </w:style>
  <w:style w:type="paragraph" w:customStyle="1" w:styleId="73">
    <w:name w:val="样式 43 10 磅"/>
    <w:pPr>
      <w:widowControl w:val="0"/>
      <w:jc w:val="both"/>
    </w:pPr>
    <w:rPr>
      <w:rFonts w:ascii="Calibri" w:eastAsia="宋体" w:cs="Calibri" w:hAnsi="Calibri"/>
      <w:kern w:val="2"/>
      <w:sz w:val="21"/>
      <w:szCs w:val="21"/>
      <w:lang w:val="en-US" w:eastAsia="zh-CN" w:bidi="ar-SA"/>
    </w:rPr>
  </w:style>
  <w:style w:type="paragraph" w:customStyle="1" w:styleId="74">
    <w:name w:val="样式 44 10 磅"/>
    <w:pPr>
      <w:widowControl w:val="0"/>
      <w:jc w:val="both"/>
    </w:pPr>
    <w:rPr>
      <w:rFonts w:ascii="Calibri" w:eastAsia="宋体" w:cs="Calibri" w:hAnsi="Calibri"/>
      <w:kern w:val="2"/>
      <w:sz w:val="21"/>
      <w:szCs w:val="21"/>
      <w:lang w:val="en-US" w:eastAsia="zh-CN" w:bidi="ar-SA"/>
    </w:rPr>
  </w:style>
  <w:style w:type="paragraph" w:customStyle="1" w:styleId="75">
    <w:name w:val="样式 45 10 磅"/>
    <w:pPr>
      <w:widowControl w:val="0"/>
      <w:jc w:val="both"/>
    </w:pPr>
    <w:rPr>
      <w:rFonts w:ascii="Calibri" w:eastAsia="宋体" w:cs="Calibri" w:hAnsi="Calibri"/>
      <w:kern w:val="2"/>
      <w:sz w:val="21"/>
      <w:szCs w:val="21"/>
      <w:lang w:val="en-US" w:eastAsia="zh-CN" w:bidi="ar-SA"/>
    </w:rPr>
  </w:style>
  <w:style w:type="paragraph" w:customStyle="1" w:styleId="76">
    <w:name w:val="样式 46 10 磅"/>
    <w:pPr>
      <w:widowControl w:val="0"/>
      <w:jc w:val="both"/>
    </w:pPr>
    <w:rPr>
      <w:rFonts w:ascii="Calibri" w:eastAsia="宋体" w:cs="Calibri" w:hAnsi="Calibri"/>
      <w:kern w:val="2"/>
      <w:sz w:val="21"/>
      <w:szCs w:val="21"/>
      <w:lang w:val="en-US" w:eastAsia="zh-CN" w:bidi="ar-SA"/>
    </w:rPr>
  </w:style>
  <w:style w:type="paragraph" w:customStyle="1" w:styleId="77">
    <w:name w:val="样式 47 10 磅"/>
    <w:pPr>
      <w:widowControl w:val="0"/>
      <w:jc w:val="both"/>
    </w:pPr>
    <w:rPr>
      <w:rFonts w:ascii="Calibri" w:eastAsia="宋体" w:cs="Calibri" w:hAnsi="Calibri"/>
      <w:kern w:val="2"/>
      <w:sz w:val="21"/>
      <w:szCs w:val="21"/>
      <w:lang w:val="en-US" w:eastAsia="zh-CN" w:bidi="ar-SA"/>
    </w:rPr>
  </w:style>
  <w:style w:type="paragraph" w:customStyle="1" w:styleId="78">
    <w:name w:val="样式 48 10 磅"/>
    <w:pPr>
      <w:widowControl w:val="0"/>
      <w:jc w:val="both"/>
    </w:pPr>
    <w:rPr>
      <w:rFonts w:ascii="Calibri" w:eastAsia="宋体" w:cs="Calibri" w:hAnsi="Calibri"/>
      <w:kern w:val="2"/>
      <w:sz w:val="21"/>
      <w:szCs w:val="21"/>
      <w:lang w:val="en-US" w:eastAsia="zh-CN" w:bidi="ar-SA"/>
    </w:rPr>
  </w:style>
  <w:style w:type="paragraph" w:customStyle="1" w:styleId="79">
    <w:name w:val="样式 49 10 磅"/>
    <w:pPr>
      <w:widowControl w:val="0"/>
      <w:jc w:val="both"/>
    </w:pPr>
    <w:rPr>
      <w:rFonts w:ascii="Calibri" w:eastAsia="宋体" w:cs="Calibri" w:hAnsi="Calibri"/>
      <w:kern w:val="2"/>
      <w:sz w:val="21"/>
      <w:szCs w:val="21"/>
      <w:lang w:val="en-US" w:eastAsia="zh-CN" w:bidi="ar-SA"/>
    </w:rPr>
  </w:style>
  <w:style w:type="paragraph" w:customStyle="1" w:styleId="80">
    <w:name w:val="样式 50 10 磅"/>
    <w:pPr>
      <w:widowControl w:val="0"/>
      <w:jc w:val="both"/>
    </w:pPr>
    <w:rPr>
      <w:rFonts w:ascii="Calibri" w:eastAsia="宋体" w:cs="Calibri" w:hAnsi="Calibri"/>
      <w:kern w:val="2"/>
      <w:sz w:val="21"/>
      <w:szCs w:val="21"/>
      <w:lang w:val="en-US" w:eastAsia="zh-CN" w:bidi="ar-SA"/>
    </w:rPr>
  </w:style>
  <w:style w:type="paragraph" w:customStyle="1" w:styleId="81">
    <w:name w:val="样式 51 10 磅"/>
    <w:pPr>
      <w:widowControl w:val="0"/>
      <w:jc w:val="both"/>
    </w:pPr>
    <w:rPr>
      <w:rFonts w:ascii="Calibri" w:eastAsia="宋体" w:cs="Calibri" w:hAnsi="Calibri"/>
      <w:kern w:val="2"/>
      <w:sz w:val="21"/>
      <w:szCs w:val="21"/>
      <w:lang w:val="en-US" w:eastAsia="zh-CN" w:bidi="ar-SA"/>
    </w:rPr>
  </w:style>
  <w:style w:type="paragraph" w:customStyle="1" w:styleId="82">
    <w:name w:val="样式 52 10 磅"/>
    <w:pPr>
      <w:widowControl w:val="0"/>
      <w:jc w:val="both"/>
    </w:pPr>
    <w:rPr>
      <w:rFonts w:ascii="Calibri" w:eastAsia="宋体" w:cs="Calibri" w:hAnsi="Calibri"/>
      <w:kern w:val="2"/>
      <w:sz w:val="21"/>
      <w:szCs w:val="21"/>
      <w:lang w:val="en-US" w:eastAsia="zh-CN" w:bidi="ar-SA"/>
    </w:rPr>
  </w:style>
  <w:style w:type="paragraph" w:customStyle="1" w:styleId="83">
    <w:name w:val="样式 53 10 磅"/>
    <w:pPr>
      <w:widowControl w:val="0"/>
      <w:jc w:val="both"/>
    </w:pPr>
    <w:rPr>
      <w:rFonts w:ascii="Calibri" w:eastAsia="宋体" w:cs="Calibri" w:hAnsi="Calibri"/>
      <w:kern w:val="2"/>
      <w:sz w:val="21"/>
      <w:szCs w:val="21"/>
      <w:lang w:val="en-US" w:eastAsia="zh-CN" w:bidi="ar-SA"/>
    </w:rPr>
  </w:style>
  <w:style w:type="paragraph" w:customStyle="1" w:styleId="84">
    <w:name w:val="样式 54 10 磅"/>
    <w:pPr>
      <w:widowControl w:val="0"/>
      <w:jc w:val="both"/>
    </w:pPr>
    <w:rPr>
      <w:rFonts w:ascii="Calibri" w:eastAsia="宋体" w:cs="Calibri" w:hAnsi="Calibri"/>
      <w:kern w:val="2"/>
      <w:sz w:val="21"/>
      <w:szCs w:val="21"/>
      <w:lang w:val="en-US" w:eastAsia="zh-CN" w:bidi="ar-SA"/>
    </w:rPr>
  </w:style>
  <w:style w:type="paragraph" w:customStyle="1" w:styleId="85">
    <w:name w:val="样式 55 10 磅"/>
    <w:pPr>
      <w:widowControl w:val="0"/>
      <w:jc w:val="both"/>
    </w:pPr>
    <w:rPr>
      <w:rFonts w:ascii="Calibri" w:eastAsia="宋体" w:cs="Calibri" w:hAnsi="Calibri"/>
      <w:kern w:val="2"/>
      <w:sz w:val="21"/>
      <w:szCs w:val="21"/>
      <w:lang w:val="en-US" w:eastAsia="zh-CN" w:bidi="ar-SA"/>
    </w:rPr>
  </w:style>
  <w:style w:type="paragraph" w:customStyle="1" w:styleId="86">
    <w:name w:val="样式 56 10 磅"/>
    <w:pPr>
      <w:widowControl w:val="0"/>
      <w:jc w:val="both"/>
    </w:pPr>
    <w:rPr>
      <w:rFonts w:ascii="Calibri" w:eastAsia="宋体" w:cs="Calibri" w:hAnsi="Calibri"/>
      <w:kern w:val="2"/>
      <w:sz w:val="21"/>
      <w:szCs w:val="21"/>
      <w:lang w:val="en-US" w:eastAsia="zh-CN" w:bidi="ar-SA"/>
    </w:rPr>
  </w:style>
  <w:style w:type="paragraph" w:customStyle="1" w:styleId="87">
    <w:name w:val="样式 57 10 磅"/>
    <w:pPr>
      <w:widowControl w:val="0"/>
      <w:jc w:val="both"/>
    </w:pPr>
    <w:rPr>
      <w:rFonts w:ascii="Calibri" w:eastAsia="宋体" w:cs="Calibri" w:hAnsi="Calibri"/>
      <w:kern w:val="2"/>
      <w:sz w:val="21"/>
      <w:szCs w:val="21"/>
      <w:lang w:val="en-US" w:eastAsia="zh-CN" w:bidi="ar-SA"/>
    </w:rPr>
  </w:style>
  <w:style w:type="paragraph" w:customStyle="1" w:styleId="88">
    <w:name w:val="样式 58 10 磅"/>
    <w:pPr>
      <w:widowControl w:val="0"/>
      <w:jc w:val="both"/>
    </w:pPr>
    <w:rPr>
      <w:rFonts w:ascii="Calibri" w:eastAsia="宋体" w:cs="Calibri" w:hAnsi="Calibri"/>
      <w:kern w:val="2"/>
      <w:sz w:val="21"/>
      <w:szCs w:val="21"/>
      <w:lang w:val="en-US" w:eastAsia="zh-CN" w:bidi="ar-SA"/>
    </w:rPr>
  </w:style>
  <w:style w:type="paragraph" w:customStyle="1" w:styleId="89">
    <w:name w:val="样式 59 10 磅"/>
    <w:pPr>
      <w:widowControl w:val="0"/>
      <w:jc w:val="both"/>
    </w:pPr>
    <w:rPr>
      <w:rFonts w:ascii="Calibri" w:eastAsia="宋体" w:cs="Calibri" w:hAnsi="Calibri"/>
      <w:kern w:val="2"/>
      <w:sz w:val="21"/>
      <w:szCs w:val="21"/>
      <w:lang w:val="en-US" w:eastAsia="zh-CN" w:bidi="ar-SA"/>
    </w:rPr>
  </w:style>
  <w:style w:type="paragraph" w:customStyle="1" w:styleId="90">
    <w:name w:val="样式 60 10 磅"/>
    <w:pPr>
      <w:widowControl w:val="0"/>
      <w:jc w:val="both"/>
    </w:pPr>
    <w:rPr>
      <w:rFonts w:ascii="Calibri" w:eastAsia="宋体" w:cs="Calibri" w:hAnsi="Calibri"/>
      <w:kern w:val="2"/>
      <w:sz w:val="21"/>
      <w:szCs w:val="21"/>
      <w:lang w:val="en-US" w:eastAsia="zh-CN" w:bidi="ar-SA"/>
    </w:rPr>
  </w:style>
  <w:style w:type="paragraph" w:customStyle="1" w:styleId="91">
    <w:name w:val="样式 61 10 磅"/>
    <w:pPr>
      <w:widowControl w:val="0"/>
      <w:jc w:val="both"/>
    </w:pPr>
    <w:rPr>
      <w:rFonts w:ascii="Calibri" w:eastAsia="宋体" w:cs="Calibri" w:hAnsi="Calibri"/>
      <w:kern w:val="2"/>
      <w:sz w:val="21"/>
      <w:szCs w:val="21"/>
      <w:lang w:val="en-US" w:eastAsia="zh-CN" w:bidi="ar-SA"/>
    </w:rPr>
  </w:style>
  <w:style w:type="paragraph" w:customStyle="1" w:styleId="92">
    <w:name w:val="样式 62 10 磅"/>
    <w:pPr>
      <w:widowControl w:val="0"/>
      <w:jc w:val="both"/>
    </w:pPr>
    <w:rPr>
      <w:rFonts w:ascii="Calibri" w:eastAsia="宋体" w:cs="Calibri" w:hAnsi="Calibri"/>
      <w:kern w:val="2"/>
      <w:sz w:val="21"/>
      <w:szCs w:val="21"/>
      <w:lang w:val="en-US" w:eastAsia="zh-CN" w:bidi="ar-SA"/>
    </w:rPr>
  </w:style>
  <w:style w:type="paragraph" w:customStyle="1" w:styleId="93">
    <w:name w:val="样式 63 10 磅"/>
    <w:pPr>
      <w:widowControl w:val="0"/>
      <w:jc w:val="both"/>
    </w:pPr>
    <w:rPr>
      <w:rFonts w:ascii="Calibri" w:eastAsia="宋体" w:cs="Calibri" w:hAnsi="Calibri"/>
      <w:kern w:val="2"/>
      <w:sz w:val="21"/>
      <w:szCs w:val="21"/>
      <w:lang w:val="en-US" w:eastAsia="zh-CN" w:bidi="ar-SA"/>
    </w:rPr>
  </w:style>
  <w:style w:type="paragraph" w:customStyle="1" w:styleId="94">
    <w:name w:val="样式 64 10 磅"/>
    <w:pPr>
      <w:widowControl w:val="0"/>
      <w:jc w:val="both"/>
    </w:pPr>
    <w:rPr>
      <w:rFonts w:ascii="Calibri" w:eastAsia="宋体" w:cs="Calibri" w:hAnsi="Calibri"/>
      <w:kern w:val="2"/>
      <w:sz w:val="21"/>
      <w:szCs w:val="21"/>
      <w:lang w:val="en-US" w:eastAsia="zh-CN" w:bidi="ar-SA"/>
    </w:rPr>
  </w:style>
  <w:style w:type="paragraph" w:customStyle="1" w:styleId="95">
    <w:name w:val="样式 65 10 磅"/>
    <w:pPr>
      <w:widowControl w:val="0"/>
      <w:jc w:val="both"/>
    </w:pPr>
    <w:rPr>
      <w:rFonts w:ascii="Calibri" w:eastAsia="宋体" w:cs="Calibri" w:hAnsi="Calibri"/>
      <w:kern w:val="2"/>
      <w:sz w:val="21"/>
      <w:szCs w:val="21"/>
      <w:lang w:val="en-US" w:eastAsia="zh-CN" w:bidi="ar-SA"/>
    </w:rPr>
  </w:style>
  <w:style w:type="paragraph" w:customStyle="1" w:styleId="96">
    <w:name w:val="样式 66 10 磅"/>
    <w:pPr>
      <w:widowControl w:val="0"/>
      <w:jc w:val="both"/>
    </w:pPr>
    <w:rPr>
      <w:rFonts w:ascii="Calibri" w:eastAsia="宋体" w:cs="Calibri" w:hAnsi="Calibri"/>
      <w:kern w:val="2"/>
      <w:sz w:val="21"/>
      <w:szCs w:val="21"/>
      <w:lang w:val="en-US" w:eastAsia="zh-CN" w:bidi="ar-SA"/>
    </w:rPr>
  </w:style>
  <w:style w:type="paragraph" w:customStyle="1" w:styleId="97">
    <w:name w:val="样式 67 10 磅"/>
    <w:pPr>
      <w:widowControl w:val="0"/>
      <w:jc w:val="both"/>
    </w:pPr>
    <w:rPr>
      <w:rFonts w:ascii="Calibri" w:eastAsia="宋体" w:cs="Calibri" w:hAnsi="Calibri"/>
      <w:kern w:val="2"/>
      <w:sz w:val="21"/>
      <w:szCs w:val="21"/>
      <w:lang w:val="en-US" w:eastAsia="zh-CN" w:bidi="ar-SA"/>
    </w:rPr>
  </w:style>
  <w:style w:type="paragraph" w:customStyle="1" w:styleId="98">
    <w:name w:val="样式 68 10 磅"/>
    <w:pPr>
      <w:widowControl w:val="0"/>
      <w:jc w:val="both"/>
    </w:pPr>
    <w:rPr>
      <w:rFonts w:ascii="Calibri" w:eastAsia="宋体" w:cs="Calibri" w:hAnsi="Calibri"/>
      <w:kern w:val="2"/>
      <w:sz w:val="21"/>
      <w:szCs w:val="21"/>
      <w:lang w:val="en-US" w:eastAsia="zh-CN" w:bidi="ar-SA"/>
    </w:rPr>
  </w:style>
  <w:style w:type="paragraph" w:customStyle="1" w:styleId="99">
    <w:name w:val="样式 69 10 磅"/>
    <w:pPr>
      <w:widowControl w:val="0"/>
      <w:jc w:val="both"/>
    </w:pPr>
    <w:rPr>
      <w:rFonts w:ascii="Calibri" w:eastAsia="宋体" w:cs="Calibri" w:hAnsi="Calibri"/>
      <w:kern w:val="2"/>
      <w:sz w:val="21"/>
      <w:szCs w:val="21"/>
      <w:lang w:val="en-US" w:eastAsia="zh-CN" w:bidi="ar-SA"/>
    </w:rPr>
  </w:style>
  <w:style w:type="paragraph" w:customStyle="1" w:styleId="100">
    <w:name w:val="样式 70 10 磅"/>
    <w:pPr>
      <w:widowControl w:val="0"/>
      <w:jc w:val="both"/>
    </w:pPr>
    <w:rPr>
      <w:rFonts w:ascii="Calibri" w:eastAsia="宋体" w:cs="Calibri" w:hAnsi="Calibri"/>
      <w:kern w:val="2"/>
      <w:sz w:val="21"/>
      <w:szCs w:val="21"/>
      <w:lang w:val="en-US" w:eastAsia="zh-CN" w:bidi="ar-SA"/>
    </w:rPr>
  </w:style>
  <w:style w:type="paragraph" w:customStyle="1" w:styleId="101">
    <w:name w:val="样式 71 10 磅"/>
    <w:pPr>
      <w:widowControl w:val="0"/>
      <w:jc w:val="both"/>
    </w:pPr>
    <w:rPr>
      <w:rFonts w:ascii="Calibri" w:eastAsia="宋体" w:cs="Calibri" w:hAnsi="Calibri"/>
      <w:kern w:val="2"/>
      <w:sz w:val="21"/>
      <w:szCs w:val="21"/>
      <w:lang w:val="en-US" w:eastAsia="zh-CN" w:bidi="ar-SA"/>
    </w:rPr>
  </w:style>
  <w:style w:type="paragraph" w:customStyle="1" w:styleId="102">
    <w:name w:val="样式 72 10 磅"/>
    <w:pPr>
      <w:widowControl w:val="0"/>
      <w:jc w:val="both"/>
    </w:pPr>
    <w:rPr>
      <w:rFonts w:ascii="Calibri" w:eastAsia="宋体" w:cs="Calibri" w:hAnsi="Calibri"/>
      <w:kern w:val="2"/>
      <w:sz w:val="21"/>
      <w:szCs w:val="21"/>
      <w:lang w:val="en-US" w:eastAsia="zh-CN" w:bidi="ar-SA"/>
    </w:rPr>
  </w:style>
  <w:style w:type="paragraph" w:customStyle="1" w:styleId="103">
    <w:name w:val="样式 73 10 磅"/>
    <w:pPr>
      <w:widowControl w:val="0"/>
      <w:jc w:val="both"/>
    </w:pPr>
    <w:rPr>
      <w:rFonts w:ascii="Calibri" w:eastAsia="宋体" w:cs="Calibri" w:hAnsi="Calibri"/>
      <w:kern w:val="2"/>
      <w:sz w:val="21"/>
      <w:szCs w:val="21"/>
      <w:lang w:val="en-US" w:eastAsia="zh-CN" w:bidi="ar-SA"/>
    </w:rPr>
  </w:style>
  <w:style w:type="paragraph" w:customStyle="1" w:styleId="104">
    <w:name w:val="样式 74 10 磅"/>
    <w:pPr>
      <w:widowControl w:val="0"/>
      <w:jc w:val="both"/>
    </w:pPr>
    <w:rPr>
      <w:rFonts w:ascii="Calibri" w:eastAsia="宋体" w:cs="Calibri" w:hAnsi="Calibri"/>
      <w:kern w:val="2"/>
      <w:sz w:val="21"/>
      <w:szCs w:val="21"/>
      <w:lang w:val="en-US" w:eastAsia="zh-CN" w:bidi="ar-SA"/>
    </w:rPr>
  </w:style>
  <w:style w:type="paragraph" w:customStyle="1" w:styleId="105">
    <w:name w:val="样式 75 10 磅"/>
    <w:pPr>
      <w:widowControl w:val="0"/>
      <w:jc w:val="both"/>
    </w:pPr>
    <w:rPr>
      <w:rFonts w:ascii="Calibri" w:eastAsia="宋体" w:cs="Calibri" w:hAnsi="Calibri"/>
      <w:kern w:val="2"/>
      <w:sz w:val="21"/>
      <w:szCs w:val="21"/>
      <w:lang w:val="en-US" w:eastAsia="zh-CN" w:bidi="ar-SA"/>
    </w:rPr>
  </w:style>
  <w:style w:type="paragraph" w:customStyle="1" w:styleId="106">
    <w:name w:val="样式 76 10 磅"/>
    <w:pPr>
      <w:widowControl w:val="0"/>
      <w:jc w:val="both"/>
    </w:pPr>
    <w:rPr>
      <w:rFonts w:ascii="Calibri" w:eastAsia="宋体" w:cs="Calibri" w:hAnsi="Calibri"/>
      <w:kern w:val="2"/>
      <w:sz w:val="21"/>
      <w:szCs w:val="21"/>
      <w:lang w:val="en-US" w:eastAsia="zh-CN" w:bidi="ar-SA"/>
    </w:rPr>
  </w:style>
  <w:style w:type="paragraph" w:customStyle="1" w:styleId="107">
    <w:name w:val="样式 77 10 磅"/>
    <w:pPr>
      <w:widowControl w:val="0"/>
      <w:jc w:val="both"/>
    </w:pPr>
    <w:rPr>
      <w:rFonts w:ascii="Calibri" w:eastAsia="宋体" w:cs="Calibri" w:hAnsi="Calibri"/>
      <w:kern w:val="2"/>
      <w:sz w:val="21"/>
      <w:szCs w:val="21"/>
      <w:lang w:val="en-US" w:eastAsia="zh-CN" w:bidi="ar-SA"/>
    </w:rPr>
  </w:style>
  <w:style w:type="paragraph" w:customStyle="1" w:styleId="108">
    <w:name w:val="样式 78 10 磅"/>
    <w:pPr>
      <w:widowControl w:val="0"/>
      <w:jc w:val="both"/>
    </w:pPr>
    <w:rPr>
      <w:rFonts w:ascii="Calibri" w:eastAsia="宋体" w:cs="Calibri" w:hAnsi="Calibri"/>
      <w:kern w:val="2"/>
      <w:sz w:val="21"/>
      <w:szCs w:val="21"/>
      <w:lang w:val="en-US" w:eastAsia="zh-CN" w:bidi="ar-SA"/>
    </w:rPr>
  </w:style>
  <w:style w:type="paragraph" w:customStyle="1" w:styleId="109">
    <w:name w:val="样式 79 10 磅"/>
    <w:pPr>
      <w:widowControl w:val="0"/>
      <w:jc w:val="both"/>
    </w:pPr>
    <w:rPr>
      <w:rFonts w:ascii="Calibri" w:eastAsia="宋体" w:cs="Calibri" w:hAnsi="Calibri"/>
      <w:kern w:val="2"/>
      <w:sz w:val="21"/>
      <w:szCs w:val="21"/>
      <w:lang w:val="en-US" w:eastAsia="zh-CN" w:bidi="ar-SA"/>
    </w:rPr>
  </w:style>
  <w:style w:type="paragraph" w:customStyle="1" w:styleId="110">
    <w:name w:val="样式 80 10 磅"/>
    <w:pPr>
      <w:widowControl w:val="0"/>
      <w:jc w:val="both"/>
    </w:pPr>
    <w:rPr>
      <w:rFonts w:ascii="Calibri" w:eastAsia="宋体" w:cs="Calibri" w:hAnsi="Calibri"/>
      <w:kern w:val="2"/>
      <w:sz w:val="21"/>
      <w:szCs w:val="21"/>
      <w:lang w:val="en-US" w:eastAsia="zh-CN" w:bidi="ar-SA"/>
    </w:rPr>
  </w:style>
  <w:style w:type="paragraph" w:customStyle="1" w:styleId="111">
    <w:name w:val="样式 81 10 磅"/>
    <w:pPr>
      <w:widowControl w:val="0"/>
      <w:jc w:val="both"/>
    </w:pPr>
    <w:rPr>
      <w:rFonts w:ascii="Calibri" w:eastAsia="宋体" w:cs="Calibri" w:hAnsi="Calibri"/>
      <w:kern w:val="2"/>
      <w:sz w:val="21"/>
      <w:szCs w:val="21"/>
      <w:lang w:val="en-US" w:eastAsia="zh-CN" w:bidi="ar-SA"/>
    </w:rPr>
  </w:style>
  <w:style w:type="paragraph" w:customStyle="1" w:styleId="112">
    <w:name w:val="样式 82 10 磅"/>
    <w:pPr>
      <w:widowControl w:val="0"/>
      <w:jc w:val="both"/>
    </w:pPr>
    <w:rPr>
      <w:rFonts w:ascii="Calibri" w:eastAsia="宋体" w:cs="Calibri" w:hAnsi="Calibri"/>
      <w:kern w:val="2"/>
      <w:sz w:val="21"/>
      <w:szCs w:val="21"/>
      <w:lang w:val="en-US" w:eastAsia="zh-CN" w:bidi="ar-SA"/>
    </w:rPr>
  </w:style>
  <w:style w:type="paragraph" w:customStyle="1" w:styleId="113">
    <w:name w:val="样式 83 10 磅"/>
    <w:pPr>
      <w:widowControl w:val="0"/>
      <w:jc w:val="both"/>
    </w:pPr>
    <w:rPr>
      <w:rFonts w:ascii="Calibri" w:eastAsia="宋体" w:cs="Calibri" w:hAnsi="Calibri"/>
      <w:kern w:val="2"/>
      <w:sz w:val="21"/>
      <w:szCs w:val="21"/>
      <w:lang w:val="en-US" w:eastAsia="zh-CN" w:bidi="ar-SA"/>
    </w:rPr>
  </w:style>
  <w:style w:type="paragraph" w:customStyle="1" w:styleId="114">
    <w:name w:val="样式 84 10 磅"/>
    <w:pPr>
      <w:widowControl w:val="0"/>
      <w:jc w:val="both"/>
    </w:pPr>
    <w:rPr>
      <w:rFonts w:ascii="Calibri" w:eastAsia="宋体" w:cs="Calibri" w:hAnsi="Calibri"/>
      <w:kern w:val="2"/>
      <w:sz w:val="21"/>
      <w:szCs w:val="21"/>
      <w:lang w:val="en-US" w:eastAsia="zh-CN" w:bidi="ar-SA"/>
    </w:rPr>
  </w:style>
  <w:style w:type="paragraph" w:customStyle="1" w:styleId="115">
    <w:name w:val="样式 85 10 磅"/>
    <w:pPr>
      <w:widowControl w:val="0"/>
      <w:jc w:val="both"/>
    </w:pPr>
    <w:rPr>
      <w:rFonts w:ascii="Calibri" w:eastAsia="宋体" w:cs="Calibri" w:hAnsi="Calibri"/>
      <w:kern w:val="2"/>
      <w:sz w:val="21"/>
      <w:szCs w:val="21"/>
      <w:lang w:val="en-US" w:eastAsia="zh-CN" w:bidi="ar-SA"/>
    </w:rPr>
  </w:style>
  <w:style w:type="paragraph" w:customStyle="1" w:styleId="116">
    <w:name w:val="样式 86 10 磅"/>
    <w:pPr>
      <w:widowControl w:val="0"/>
      <w:jc w:val="both"/>
    </w:pPr>
    <w:rPr>
      <w:rFonts w:ascii="Calibri" w:eastAsia="宋体" w:cs="Calibri" w:hAnsi="Calibri"/>
      <w:kern w:val="2"/>
      <w:sz w:val="21"/>
      <w:szCs w:val="21"/>
      <w:lang w:val="en-US" w:eastAsia="zh-CN" w:bidi="ar-SA"/>
    </w:rPr>
  </w:style>
  <w:style w:type="paragraph" w:customStyle="1" w:styleId="117">
    <w:name w:val="样式 87 10 磅"/>
    <w:pPr>
      <w:widowControl w:val="0"/>
      <w:jc w:val="both"/>
    </w:pPr>
    <w:rPr>
      <w:rFonts w:ascii="Calibri" w:eastAsia="宋体" w:cs="Calibri" w:hAnsi="Calibri"/>
      <w:kern w:val="2"/>
      <w:sz w:val="21"/>
      <w:szCs w:val="21"/>
      <w:lang w:val="en-US" w:eastAsia="zh-CN" w:bidi="ar-SA"/>
    </w:rPr>
  </w:style>
  <w:style w:type="paragraph" w:customStyle="1" w:styleId="118">
    <w:name w:val="样式 88 10 磅"/>
    <w:pPr>
      <w:widowControl w:val="0"/>
      <w:jc w:val="both"/>
    </w:pPr>
    <w:rPr>
      <w:rFonts w:ascii="Calibri" w:eastAsia="宋体" w:cs="Calibri" w:hAnsi="Calibri"/>
      <w:kern w:val="2"/>
      <w:sz w:val="21"/>
      <w:szCs w:val="21"/>
      <w:lang w:val="en-US" w:eastAsia="zh-CN" w:bidi="ar-SA"/>
    </w:rPr>
  </w:style>
  <w:style w:type="paragraph" w:customStyle="1" w:styleId="119">
    <w:name w:val="样式 89 10 磅"/>
    <w:pPr>
      <w:widowControl w:val="0"/>
      <w:jc w:val="both"/>
    </w:pPr>
    <w:rPr>
      <w:rFonts w:ascii="Calibri" w:eastAsia="宋体" w:cs="Calibri" w:hAnsi="Calibri"/>
      <w:kern w:val="2"/>
      <w:sz w:val="21"/>
      <w:szCs w:val="21"/>
      <w:lang w:val="en-US" w:eastAsia="zh-CN" w:bidi="ar-SA"/>
    </w:rPr>
  </w:style>
  <w:style w:type="paragraph" w:customStyle="1" w:styleId="120">
    <w:name w:val="样式 90 10 磅"/>
    <w:pPr>
      <w:widowControl w:val="0"/>
      <w:jc w:val="both"/>
    </w:pPr>
    <w:rPr>
      <w:rFonts w:ascii="Calibri" w:eastAsia="宋体" w:cs="Calibri" w:hAnsi="Calibri"/>
      <w:kern w:val="2"/>
      <w:sz w:val="21"/>
      <w:szCs w:val="21"/>
      <w:lang w:val="en-US" w:eastAsia="zh-CN" w:bidi="ar-SA"/>
    </w:rPr>
  </w:style>
  <w:style w:type="paragraph" w:customStyle="1" w:styleId="121">
    <w:name w:val="样式 91 10 磅"/>
    <w:pPr>
      <w:widowControl w:val="0"/>
      <w:jc w:val="both"/>
    </w:pPr>
    <w:rPr>
      <w:rFonts w:ascii="Calibri" w:eastAsia="宋体" w:cs="Calibri" w:hAnsi="Calibri"/>
      <w:kern w:val="2"/>
      <w:sz w:val="21"/>
      <w:szCs w:val="21"/>
      <w:lang w:val="en-US" w:eastAsia="zh-CN" w:bidi="ar-SA"/>
    </w:rPr>
  </w:style>
  <w:style w:type="paragraph" w:customStyle="1" w:styleId="122">
    <w:name w:val="样式 92 10 磅"/>
    <w:pPr>
      <w:widowControl w:val="0"/>
      <w:jc w:val="both"/>
    </w:pPr>
    <w:rPr>
      <w:rFonts w:ascii="Calibri" w:eastAsia="宋体" w:cs="Calibri" w:hAnsi="Calibri"/>
      <w:kern w:val="2"/>
      <w:sz w:val="21"/>
      <w:szCs w:val="21"/>
      <w:lang w:val="en-US" w:eastAsia="zh-CN" w:bidi="ar-SA"/>
    </w:rPr>
  </w:style>
  <w:style w:type="paragraph" w:customStyle="1" w:styleId="123">
    <w:name w:val="样式 93 10 磅"/>
    <w:pPr>
      <w:widowControl w:val="0"/>
      <w:jc w:val="both"/>
    </w:pPr>
    <w:rPr>
      <w:rFonts w:ascii="Calibri" w:eastAsia="宋体" w:cs="Calibri" w:hAnsi="Calibri"/>
      <w:kern w:val="2"/>
      <w:sz w:val="21"/>
      <w:szCs w:val="21"/>
      <w:lang w:val="en-US" w:eastAsia="zh-CN" w:bidi="ar-SA"/>
    </w:rPr>
  </w:style>
  <w:style w:type="paragraph" w:customStyle="1" w:styleId="124">
    <w:name w:val="样式 94 10 磅"/>
    <w:pPr>
      <w:widowControl w:val="0"/>
      <w:jc w:val="both"/>
    </w:pPr>
    <w:rPr>
      <w:rFonts w:ascii="Calibri" w:eastAsia="宋体" w:cs="Calibri" w:hAnsi="Calibri"/>
      <w:kern w:val="2"/>
      <w:sz w:val="21"/>
      <w:szCs w:val="21"/>
      <w:lang w:val="en-US" w:eastAsia="zh-CN" w:bidi="ar-SA"/>
    </w:rPr>
  </w:style>
  <w:style w:type="paragraph" w:customStyle="1" w:styleId="125">
    <w:name w:val="样式 95 10 磅"/>
    <w:pPr>
      <w:widowControl w:val="0"/>
      <w:jc w:val="both"/>
    </w:pPr>
    <w:rPr>
      <w:rFonts w:ascii="Calibri" w:eastAsia="宋体" w:cs="Calibri" w:hAnsi="Calibri"/>
      <w:kern w:val="2"/>
      <w:sz w:val="21"/>
      <w:szCs w:val="21"/>
      <w:lang w:val="en-US" w:eastAsia="zh-CN" w:bidi="ar-SA"/>
    </w:rPr>
  </w:style>
  <w:style w:type="paragraph" w:customStyle="1" w:styleId="126">
    <w:name w:val="样式 96 10 磅"/>
    <w:pPr>
      <w:widowControl w:val="0"/>
      <w:jc w:val="both"/>
    </w:pPr>
    <w:rPr>
      <w:rFonts w:ascii="Calibri" w:eastAsia="宋体" w:cs="Calibri" w:hAnsi="Calibri"/>
      <w:kern w:val="2"/>
      <w:sz w:val="21"/>
      <w:szCs w:val="21"/>
      <w:lang w:val="en-US" w:eastAsia="zh-CN" w:bidi="ar-SA"/>
    </w:rPr>
  </w:style>
  <w:style w:type="paragraph" w:customStyle="1" w:styleId="127">
    <w:name w:val="样式 97 10 磅"/>
    <w:pPr>
      <w:widowControl w:val="0"/>
      <w:jc w:val="both"/>
    </w:pPr>
    <w:rPr>
      <w:rFonts w:ascii="Calibri" w:eastAsia="宋体" w:cs="Calibri" w:hAnsi="Calibri"/>
      <w:kern w:val="2"/>
      <w:sz w:val="21"/>
      <w:szCs w:val="21"/>
      <w:lang w:val="en-US" w:eastAsia="zh-CN" w:bidi="ar-SA"/>
    </w:rPr>
  </w:style>
  <w:style w:type="paragraph" w:customStyle="1" w:styleId="128">
    <w:name w:val="样式 98 10 磅"/>
    <w:pPr>
      <w:widowControl w:val="0"/>
      <w:jc w:val="both"/>
    </w:pPr>
    <w:rPr>
      <w:rFonts w:ascii="Calibri" w:eastAsia="宋体" w:cs="Calibri" w:hAnsi="Calibri"/>
      <w:kern w:val="2"/>
      <w:sz w:val="21"/>
      <w:szCs w:val="21"/>
      <w:lang w:val="en-US" w:eastAsia="zh-CN" w:bidi="ar-SA"/>
    </w:rPr>
  </w:style>
  <w:style w:type="paragraph" w:customStyle="1" w:styleId="129">
    <w:name w:val="样式 99 10 磅"/>
    <w:pPr>
      <w:widowControl w:val="0"/>
      <w:jc w:val="both"/>
    </w:pPr>
    <w:rPr>
      <w:rFonts w:ascii="Calibri" w:eastAsia="宋体" w:cs="Calibri" w:hAnsi="Calibri"/>
      <w:kern w:val="2"/>
      <w:sz w:val="21"/>
      <w:szCs w:val="21"/>
      <w:lang w:val="en-US" w:eastAsia="zh-CN" w:bidi="ar-SA"/>
    </w:rPr>
  </w:style>
  <w:style w:type="paragraph" w:customStyle="1" w:styleId="130">
    <w:name w:val="样式 100 10 磅"/>
    <w:pPr>
      <w:widowControl w:val="0"/>
      <w:jc w:val="both"/>
    </w:pPr>
    <w:rPr>
      <w:rFonts w:ascii="Calibri" w:eastAsia="宋体" w:cs="Calibri" w:hAnsi="Calibri"/>
      <w:kern w:val="2"/>
      <w:sz w:val="21"/>
      <w:szCs w:val="21"/>
      <w:lang w:val="en-US" w:eastAsia="zh-CN" w:bidi="ar-SA"/>
    </w:rPr>
  </w:style>
  <w:style w:type="paragraph" w:customStyle="1" w:styleId="131">
    <w:name w:val="样式 101 10 磅"/>
    <w:pPr>
      <w:widowControl w:val="0"/>
      <w:jc w:val="both"/>
    </w:pPr>
    <w:rPr>
      <w:rFonts w:ascii="Calibri" w:eastAsia="宋体" w:cs="Calibri" w:hAnsi="Calibri"/>
      <w:kern w:val="2"/>
      <w:sz w:val="21"/>
      <w:szCs w:val="21"/>
      <w:lang w:val="en-US" w:eastAsia="zh-CN" w:bidi="ar-SA"/>
    </w:rPr>
  </w:style>
  <w:style w:type="paragraph" w:customStyle="1" w:styleId="132">
    <w:name w:val="样式 102 10 磅"/>
    <w:pPr>
      <w:widowControl w:val="0"/>
      <w:jc w:val="both"/>
    </w:pPr>
    <w:rPr>
      <w:rFonts w:ascii="Calibri" w:eastAsia="宋体" w:cs="Calibri" w:hAnsi="Calibri"/>
      <w:kern w:val="2"/>
      <w:sz w:val="21"/>
      <w:szCs w:val="21"/>
      <w:lang w:val="en-US" w:eastAsia="zh-CN" w:bidi="ar-SA"/>
    </w:rPr>
  </w:style>
  <w:style w:type="paragraph" w:customStyle="1" w:styleId="133">
    <w:name w:val="样式 103 10 磅"/>
    <w:pPr>
      <w:widowControl w:val="0"/>
      <w:jc w:val="both"/>
    </w:pPr>
    <w:rPr>
      <w:rFonts w:ascii="Calibri" w:eastAsia="宋体" w:cs="Calibri" w:hAnsi="Calibri"/>
      <w:kern w:val="2"/>
      <w:sz w:val="21"/>
      <w:szCs w:val="21"/>
      <w:lang w:val="en-US" w:eastAsia="zh-CN" w:bidi="ar-SA"/>
    </w:rPr>
  </w:style>
  <w:style w:type="paragraph" w:customStyle="1" w:styleId="134">
    <w:name w:val="样式 104 10 磅"/>
    <w:pPr>
      <w:widowControl w:val="0"/>
      <w:jc w:val="both"/>
    </w:pPr>
    <w:rPr>
      <w:rFonts w:ascii="Calibri" w:eastAsia="宋体" w:cs="Calibri" w:hAnsi="Calibri"/>
      <w:kern w:val="2"/>
      <w:sz w:val="21"/>
      <w:szCs w:val="21"/>
      <w:lang w:val="en-US" w:eastAsia="zh-CN" w:bidi="ar-SA"/>
    </w:rPr>
  </w:style>
  <w:style w:type="paragraph" w:customStyle="1" w:styleId="135">
    <w:name w:val="样式 105 10 磅"/>
    <w:pPr>
      <w:widowControl w:val="0"/>
      <w:jc w:val="both"/>
    </w:pPr>
    <w:rPr>
      <w:rFonts w:ascii="Calibri" w:eastAsia="宋体" w:cs="Calibri" w:hAnsi="Calibri"/>
      <w:kern w:val="2"/>
      <w:sz w:val="21"/>
      <w:szCs w:val="21"/>
      <w:lang w:val="en-US" w:eastAsia="zh-CN" w:bidi="ar-SA"/>
    </w:rPr>
  </w:style>
  <w:style w:type="paragraph" w:customStyle="1" w:styleId="136">
    <w:name w:val="样式 106 10 磅"/>
    <w:pPr>
      <w:widowControl w:val="0"/>
      <w:jc w:val="both"/>
    </w:pPr>
    <w:rPr>
      <w:rFonts w:ascii="Calibri" w:eastAsia="宋体" w:cs="Calibri" w:hAnsi="Calibri"/>
      <w:kern w:val="2"/>
      <w:sz w:val="21"/>
      <w:szCs w:val="21"/>
      <w:lang w:val="en-US" w:eastAsia="zh-CN" w:bidi="ar-SA"/>
    </w:rPr>
  </w:style>
  <w:style w:type="paragraph" w:customStyle="1" w:styleId="137">
    <w:name w:val="样式 107 10 磅"/>
    <w:pPr>
      <w:widowControl w:val="0"/>
      <w:jc w:val="both"/>
    </w:pPr>
    <w:rPr>
      <w:rFonts w:ascii="Calibri" w:eastAsia="宋体" w:cs="Calibri" w:hAnsi="Calibri"/>
      <w:kern w:val="2"/>
      <w:sz w:val="21"/>
      <w:szCs w:val="21"/>
      <w:lang w:val="en-US" w:eastAsia="zh-CN" w:bidi="ar-SA"/>
    </w:rPr>
  </w:style>
  <w:style w:type="paragraph" w:customStyle="1" w:styleId="138">
    <w:name w:val="样式 108 10 磅"/>
    <w:pPr>
      <w:widowControl w:val="0"/>
      <w:jc w:val="both"/>
    </w:pPr>
    <w:rPr>
      <w:rFonts w:ascii="Calibri" w:eastAsia="宋体" w:cs="Calibri" w:hAnsi="Calibri"/>
      <w:kern w:val="2"/>
      <w:sz w:val="21"/>
      <w:szCs w:val="21"/>
      <w:lang w:val="en-US" w:eastAsia="zh-CN" w:bidi="ar-SA"/>
    </w:rPr>
  </w:style>
  <w:style w:type="paragraph" w:customStyle="1" w:styleId="139">
    <w:name w:val="样式 109 10 磅"/>
    <w:pPr>
      <w:widowControl w:val="0"/>
      <w:jc w:val="both"/>
    </w:pPr>
    <w:rPr>
      <w:rFonts w:ascii="Calibri" w:eastAsia="宋体" w:cs="Calibri" w:hAnsi="Calibri"/>
      <w:kern w:val="2"/>
      <w:sz w:val="21"/>
      <w:szCs w:val="21"/>
      <w:lang w:val="en-US" w:eastAsia="zh-CN" w:bidi="ar-SA"/>
    </w:rPr>
  </w:style>
  <w:style w:type="paragraph" w:customStyle="1" w:styleId="140">
    <w:name w:val="样式 110 10 磅"/>
    <w:pPr>
      <w:widowControl w:val="0"/>
      <w:jc w:val="both"/>
    </w:pPr>
    <w:rPr>
      <w:rFonts w:ascii="Calibri" w:eastAsia="宋体" w:cs="Calibri" w:hAnsi="Calibri"/>
      <w:kern w:val="2"/>
      <w:sz w:val="21"/>
      <w:szCs w:val="21"/>
      <w:lang w:val="en-US" w:eastAsia="zh-CN" w:bidi="ar-SA"/>
    </w:rPr>
  </w:style>
  <w:style w:type="paragraph" w:customStyle="1" w:styleId="141">
    <w:name w:val="样式 111 10 磅"/>
    <w:pPr>
      <w:widowControl w:val="0"/>
      <w:jc w:val="both"/>
    </w:pPr>
    <w:rPr>
      <w:rFonts w:ascii="Calibri" w:eastAsia="宋体" w:cs="Calibri" w:hAnsi="Calibri"/>
      <w:kern w:val="2"/>
      <w:sz w:val="21"/>
      <w:szCs w:val="21"/>
      <w:lang w:val="en-US" w:eastAsia="zh-CN" w:bidi="ar-SA"/>
    </w:rPr>
  </w:style>
  <w:style w:type="paragraph" w:customStyle="1" w:styleId="142">
    <w:name w:val="样式 112 10 磅"/>
    <w:pPr>
      <w:widowControl w:val="0"/>
      <w:jc w:val="both"/>
    </w:pPr>
    <w:rPr>
      <w:rFonts w:ascii="Calibri" w:eastAsia="宋体" w:cs="Calibri" w:hAnsi="Calibri"/>
      <w:kern w:val="2"/>
      <w:sz w:val="21"/>
      <w:szCs w:val="21"/>
      <w:lang w:val="en-US" w:eastAsia="zh-CN" w:bidi="ar-SA"/>
    </w:rPr>
  </w:style>
  <w:style w:type="paragraph" w:customStyle="1" w:styleId="143">
    <w:name w:val="样式 113 10 磅"/>
    <w:pPr>
      <w:widowControl w:val="0"/>
      <w:jc w:val="both"/>
    </w:pPr>
    <w:rPr>
      <w:rFonts w:ascii="Calibri" w:eastAsia="宋体" w:cs="Calibri" w:hAnsi="Calibri"/>
      <w:kern w:val="2"/>
      <w:sz w:val="21"/>
      <w:szCs w:val="21"/>
      <w:lang w:val="en-US" w:eastAsia="zh-CN" w:bidi="ar-SA"/>
    </w:rPr>
  </w:style>
  <w:style w:type="paragraph" w:customStyle="1" w:styleId="144">
    <w:name w:val="样式 114 10 磅"/>
    <w:pPr>
      <w:widowControl w:val="0"/>
      <w:jc w:val="both"/>
    </w:pPr>
    <w:rPr>
      <w:rFonts w:ascii="Calibri" w:eastAsia="宋体" w:cs="Calibri" w:hAnsi="Calibri"/>
      <w:kern w:val="2"/>
      <w:sz w:val="21"/>
      <w:szCs w:val="21"/>
      <w:lang w:val="en-US" w:eastAsia="zh-CN" w:bidi="ar-SA"/>
    </w:rPr>
  </w:style>
  <w:style w:type="paragraph" w:customStyle="1" w:styleId="145">
    <w:name w:val="样式 115 10 磅"/>
    <w:pPr>
      <w:widowControl w:val="0"/>
      <w:jc w:val="both"/>
    </w:pPr>
    <w:rPr>
      <w:rFonts w:ascii="Calibri" w:eastAsia="宋体" w:cs="Calibri" w:hAnsi="Calibri"/>
      <w:kern w:val="2"/>
      <w:sz w:val="21"/>
      <w:szCs w:val="21"/>
      <w:lang w:val="en-US" w:eastAsia="zh-CN" w:bidi="ar-SA"/>
    </w:rPr>
  </w:style>
  <w:style w:type="paragraph" w:customStyle="1" w:styleId="146">
    <w:name w:val="样式 116 10 磅"/>
    <w:pPr>
      <w:widowControl w:val="0"/>
      <w:jc w:val="both"/>
    </w:pPr>
    <w:rPr>
      <w:rFonts w:ascii="Calibri" w:eastAsia="宋体" w:cs="Calibri" w:hAnsi="Calibri"/>
      <w:kern w:val="2"/>
      <w:sz w:val="21"/>
      <w:szCs w:val="21"/>
      <w:lang w:val="en-US" w:eastAsia="zh-CN" w:bidi="ar-SA"/>
    </w:rPr>
  </w:style>
  <w:style w:type="paragraph" w:customStyle="1" w:styleId="147">
    <w:name w:val="样式 117 10 磅"/>
    <w:pPr>
      <w:widowControl w:val="0"/>
      <w:jc w:val="both"/>
    </w:pPr>
    <w:rPr>
      <w:rFonts w:ascii="Calibri" w:eastAsia="宋体" w:cs="Calibri" w:hAnsi="Calibri"/>
      <w:kern w:val="2"/>
      <w:sz w:val="21"/>
      <w:szCs w:val="21"/>
      <w:lang w:val="en-US" w:eastAsia="zh-CN" w:bidi="ar-SA"/>
    </w:rPr>
  </w:style>
  <w:style w:type="paragraph" w:customStyle="1" w:styleId="148">
    <w:name w:val="样式 118 10 磅"/>
    <w:pPr>
      <w:widowControl w:val="0"/>
      <w:jc w:val="both"/>
    </w:pPr>
    <w:rPr>
      <w:rFonts w:ascii="Calibri" w:eastAsia="宋体" w:cs="Calibri" w:hAnsi="Calibri"/>
      <w:kern w:val="2"/>
      <w:sz w:val="21"/>
      <w:szCs w:val="21"/>
      <w:lang w:val="en-US" w:eastAsia="zh-CN" w:bidi="ar-SA"/>
    </w:rPr>
  </w:style>
  <w:style w:type="paragraph" w:customStyle="1" w:styleId="149">
    <w:name w:val="样式 119 10 磅"/>
    <w:pPr>
      <w:widowControl w:val="0"/>
      <w:jc w:val="both"/>
    </w:pPr>
    <w:rPr>
      <w:rFonts w:ascii="Calibri" w:eastAsia="宋体" w:cs="Calibri" w:hAnsi="Calibri"/>
      <w:kern w:val="2"/>
      <w:sz w:val="21"/>
      <w:szCs w:val="21"/>
      <w:lang w:val="en-US" w:eastAsia="zh-CN" w:bidi="ar-SA"/>
    </w:rPr>
  </w:style>
  <w:style w:type="paragraph" w:customStyle="1" w:styleId="150">
    <w:name w:val="样式 120 10 磅"/>
    <w:pPr>
      <w:widowControl w:val="0"/>
      <w:jc w:val="both"/>
    </w:pPr>
    <w:rPr>
      <w:rFonts w:ascii="Calibri" w:eastAsia="宋体" w:cs="Calibri" w:hAnsi="Calibri"/>
      <w:kern w:val="2"/>
      <w:sz w:val="21"/>
      <w:szCs w:val="21"/>
      <w:lang w:val="en-US" w:eastAsia="zh-CN" w:bidi="ar-SA"/>
    </w:rPr>
  </w:style>
  <w:style w:type="paragraph" w:customStyle="1" w:styleId="151">
    <w:name w:val="样式 121 10 磅"/>
    <w:pPr>
      <w:widowControl w:val="0"/>
      <w:jc w:val="both"/>
    </w:pPr>
    <w:rPr>
      <w:rFonts w:ascii="Calibri" w:eastAsia="宋体" w:cs="Calibri" w:hAnsi="Calibri"/>
      <w:kern w:val="2"/>
      <w:sz w:val="21"/>
      <w:szCs w:val="21"/>
      <w:lang w:val="en-US" w:eastAsia="zh-CN" w:bidi="ar-SA"/>
    </w:rPr>
  </w:style>
  <w:style w:type="paragraph" w:customStyle="1" w:styleId="152">
    <w:name w:val="样式 122 10 磅"/>
    <w:pPr>
      <w:widowControl w:val="0"/>
      <w:jc w:val="both"/>
    </w:pPr>
    <w:rPr>
      <w:rFonts w:ascii="Calibri" w:eastAsia="宋体" w:cs="Calibri" w:hAnsi="Calibri"/>
      <w:kern w:val="2"/>
      <w:sz w:val="21"/>
      <w:szCs w:val="21"/>
      <w:lang w:val="en-US" w:eastAsia="zh-CN" w:bidi="ar-SA"/>
    </w:rPr>
  </w:style>
  <w:style w:type="paragraph" w:customStyle="1" w:styleId="153">
    <w:name w:val="样式 123 10 磅"/>
    <w:pPr>
      <w:widowControl w:val="0"/>
      <w:jc w:val="both"/>
    </w:pPr>
    <w:rPr>
      <w:rFonts w:ascii="Calibri" w:eastAsia="宋体" w:cs="Calibri" w:hAnsi="Calibri"/>
      <w:kern w:val="2"/>
      <w:sz w:val="21"/>
      <w:szCs w:val="21"/>
      <w:lang w:val="en-US" w:eastAsia="zh-CN" w:bidi="ar-SA"/>
    </w:rPr>
  </w:style>
  <w:style w:type="paragraph" w:customStyle="1" w:styleId="154">
    <w:name w:val="样式 124 10 磅"/>
    <w:pPr>
      <w:widowControl w:val="0"/>
      <w:jc w:val="both"/>
    </w:pPr>
    <w:rPr>
      <w:rFonts w:ascii="Calibri" w:eastAsia="宋体" w:cs="Calibri" w:hAnsi="Calibri"/>
      <w:kern w:val="2"/>
      <w:sz w:val="21"/>
      <w:szCs w:val="21"/>
      <w:lang w:val="en-US" w:eastAsia="zh-CN" w:bidi="ar-SA"/>
    </w:rPr>
  </w:style>
  <w:style w:type="paragraph" w:customStyle="1" w:styleId="155">
    <w:name w:val="样式 125 10 磅"/>
    <w:pPr>
      <w:widowControl w:val="0"/>
      <w:jc w:val="both"/>
    </w:pPr>
    <w:rPr>
      <w:rFonts w:ascii="Calibri" w:eastAsia="宋体" w:cs="Calibri" w:hAnsi="Calibri"/>
      <w:kern w:val="2"/>
      <w:sz w:val="21"/>
      <w:szCs w:val="21"/>
      <w:lang w:val="en-US" w:eastAsia="zh-CN" w:bidi="ar-SA"/>
    </w:rPr>
  </w:style>
  <w:style w:type="paragraph" w:customStyle="1" w:styleId="156">
    <w:name w:val="样式 126 10 磅"/>
    <w:pPr>
      <w:widowControl w:val="0"/>
      <w:jc w:val="both"/>
    </w:pPr>
    <w:rPr>
      <w:rFonts w:ascii="Calibri" w:eastAsia="宋体" w:cs="Calibri" w:hAnsi="Calibri"/>
      <w:kern w:val="2"/>
      <w:sz w:val="21"/>
      <w:szCs w:val="21"/>
      <w:lang w:val="en-US" w:eastAsia="zh-CN" w:bidi="ar-SA"/>
    </w:rPr>
  </w:style>
  <w:style w:type="paragraph" w:customStyle="1" w:styleId="157">
    <w:name w:val="样式 127 10 磅"/>
    <w:pPr>
      <w:widowControl w:val="0"/>
      <w:jc w:val="both"/>
    </w:pPr>
    <w:rPr>
      <w:rFonts w:ascii="Calibri" w:eastAsia="宋体" w:cs="Calibri" w:hAnsi="Calibri"/>
      <w:kern w:val="2"/>
      <w:sz w:val="21"/>
      <w:szCs w:val="21"/>
      <w:lang w:val="en-US" w:eastAsia="zh-CN" w:bidi="ar-SA"/>
    </w:rPr>
  </w:style>
  <w:style w:type="paragraph" w:customStyle="1" w:styleId="158">
    <w:name w:val="样式 128 10 磅"/>
    <w:pPr>
      <w:widowControl w:val="0"/>
      <w:jc w:val="both"/>
    </w:pPr>
    <w:rPr>
      <w:rFonts w:ascii="Calibri" w:eastAsia="宋体" w:cs="Calibri" w:hAnsi="Calibri"/>
      <w:kern w:val="2"/>
      <w:sz w:val="21"/>
      <w:szCs w:val="21"/>
      <w:lang w:val="en-US" w:eastAsia="zh-CN" w:bidi="ar-SA"/>
    </w:rPr>
  </w:style>
  <w:style w:type="paragraph" w:customStyle="1" w:styleId="159">
    <w:name w:val="样式 129 10 磅"/>
    <w:pPr>
      <w:widowControl w:val="0"/>
      <w:jc w:val="both"/>
    </w:pPr>
    <w:rPr>
      <w:rFonts w:ascii="Calibri" w:eastAsia="宋体" w:cs="Calibri" w:hAnsi="Calibri"/>
      <w:kern w:val="2"/>
      <w:sz w:val="21"/>
      <w:szCs w:val="21"/>
      <w:lang w:val="en-US" w:eastAsia="zh-CN" w:bidi="ar-SA"/>
    </w:rPr>
  </w:style>
  <w:style w:type="paragraph" w:customStyle="1" w:styleId="160">
    <w:name w:val="样式 130 10 磅"/>
    <w:pPr>
      <w:widowControl w:val="0"/>
      <w:jc w:val="both"/>
    </w:pPr>
    <w:rPr>
      <w:rFonts w:ascii="Calibri" w:eastAsia="宋体" w:cs="Calibri" w:hAnsi="Calibri"/>
      <w:kern w:val="2"/>
      <w:sz w:val="21"/>
      <w:szCs w:val="21"/>
      <w:lang w:val="en-US" w:eastAsia="zh-CN" w:bidi="ar-SA"/>
    </w:rPr>
  </w:style>
  <w:style w:type="paragraph" w:customStyle="1" w:styleId="161">
    <w:name w:val="样式 131 10 磅"/>
    <w:pPr>
      <w:widowControl w:val="0"/>
      <w:jc w:val="both"/>
    </w:pPr>
    <w:rPr>
      <w:rFonts w:ascii="Calibri" w:eastAsia="宋体" w:cs="Calibri" w:hAnsi="Calibri"/>
      <w:kern w:val="2"/>
      <w:sz w:val="21"/>
      <w:szCs w:val="21"/>
      <w:lang w:val="en-US" w:eastAsia="zh-CN" w:bidi="ar-SA"/>
    </w:rPr>
  </w:style>
  <w:style w:type="paragraph" w:customStyle="1" w:styleId="162">
    <w:name w:val="样式 132 10 磅"/>
    <w:pPr>
      <w:widowControl w:val="0"/>
      <w:jc w:val="both"/>
    </w:pPr>
    <w:rPr>
      <w:rFonts w:ascii="Calibri" w:eastAsia="宋体" w:cs="Calibri" w:hAnsi="Calibri"/>
      <w:kern w:val="2"/>
      <w:sz w:val="21"/>
      <w:szCs w:val="21"/>
      <w:lang w:val="en-US" w:eastAsia="zh-CN" w:bidi="ar-SA"/>
    </w:rPr>
  </w:style>
  <w:style w:type="paragraph" w:customStyle="1" w:styleId="163">
    <w:name w:val="样式 133 10 磅"/>
    <w:pPr>
      <w:widowControl w:val="0"/>
      <w:jc w:val="both"/>
    </w:pPr>
    <w:rPr>
      <w:rFonts w:ascii="Calibri" w:eastAsia="宋体" w:cs="Calibri" w:hAnsi="Calibri"/>
      <w:kern w:val="2"/>
      <w:sz w:val="21"/>
      <w:szCs w:val="21"/>
      <w:lang w:val="en-US" w:eastAsia="zh-CN" w:bidi="ar-SA"/>
    </w:rPr>
  </w:style>
  <w:style w:type="paragraph" w:customStyle="1" w:styleId="164">
    <w:name w:val="样式 134 10 磅"/>
    <w:pPr>
      <w:widowControl w:val="0"/>
      <w:jc w:val="both"/>
    </w:pPr>
    <w:rPr>
      <w:rFonts w:ascii="Calibri" w:eastAsia="宋体" w:cs="Calibri" w:hAnsi="Calibri"/>
      <w:kern w:val="2"/>
      <w:sz w:val="21"/>
      <w:szCs w:val="21"/>
      <w:lang w:val="en-US" w:eastAsia="zh-CN" w:bidi="ar-SA"/>
    </w:rPr>
  </w:style>
  <w:style w:type="paragraph" w:customStyle="1" w:styleId="165">
    <w:name w:val="样式 135 10 磅"/>
    <w:pPr>
      <w:widowControl w:val="0"/>
      <w:jc w:val="both"/>
    </w:pPr>
    <w:rPr>
      <w:rFonts w:ascii="Calibri" w:eastAsia="宋体" w:cs="Calibri" w:hAnsi="Calibri"/>
      <w:kern w:val="2"/>
      <w:sz w:val="21"/>
      <w:szCs w:val="21"/>
      <w:lang w:val="en-US" w:eastAsia="zh-CN" w:bidi="ar-SA"/>
    </w:rPr>
  </w:style>
  <w:style w:type="paragraph" w:customStyle="1" w:styleId="166">
    <w:name w:val="样式 136 10 磅"/>
    <w:pPr>
      <w:widowControl w:val="0"/>
      <w:jc w:val="both"/>
    </w:pPr>
    <w:rPr>
      <w:rFonts w:ascii="Calibri" w:eastAsia="宋体" w:cs="Calibri" w:hAnsi="Calibri"/>
      <w:kern w:val="2"/>
      <w:sz w:val="21"/>
      <w:szCs w:val="21"/>
      <w:lang w:val="en-US" w:eastAsia="zh-CN" w:bidi="ar-SA"/>
    </w:rPr>
  </w:style>
  <w:style w:type="paragraph" w:customStyle="1" w:styleId="167">
    <w:name w:val="样式 137 10 磅"/>
    <w:pPr>
      <w:widowControl w:val="0"/>
      <w:jc w:val="both"/>
    </w:pPr>
    <w:rPr>
      <w:rFonts w:ascii="Calibri" w:eastAsia="宋体" w:cs="Calibri" w:hAnsi="Calibri"/>
      <w:kern w:val="2"/>
      <w:sz w:val="21"/>
      <w:szCs w:val="21"/>
      <w:lang w:val="en-US" w:eastAsia="zh-CN" w:bidi="ar-SA"/>
    </w:rPr>
  </w:style>
  <w:style w:type="paragraph" w:customStyle="1" w:styleId="168">
    <w:name w:val="样式 138 10 磅"/>
    <w:pPr>
      <w:widowControl w:val="0"/>
      <w:jc w:val="both"/>
    </w:pPr>
    <w:rPr>
      <w:rFonts w:ascii="Calibri" w:eastAsia="宋体" w:cs="Calibri" w:hAnsi="Calibri"/>
      <w:kern w:val="2"/>
      <w:sz w:val="21"/>
      <w:szCs w:val="21"/>
      <w:lang w:val="en-US" w:eastAsia="zh-CN" w:bidi="ar-SA"/>
    </w:rPr>
  </w:style>
  <w:style w:type="paragraph" w:customStyle="1" w:styleId="169">
    <w:name w:val="样式 139 10 磅"/>
    <w:pPr>
      <w:widowControl w:val="0"/>
      <w:jc w:val="both"/>
    </w:pPr>
    <w:rPr>
      <w:rFonts w:ascii="Calibri" w:eastAsia="宋体" w:cs="Calibri" w:hAnsi="Calibri"/>
      <w:kern w:val="2"/>
      <w:sz w:val="21"/>
      <w:szCs w:val="21"/>
      <w:lang w:val="en-US" w:eastAsia="zh-CN" w:bidi="ar-SA"/>
    </w:rPr>
  </w:style>
  <w:style w:type="paragraph" w:customStyle="1" w:styleId="170">
    <w:name w:val="样式 140 10 磅"/>
    <w:pPr>
      <w:widowControl w:val="0"/>
      <w:jc w:val="both"/>
    </w:pPr>
    <w:rPr>
      <w:rFonts w:ascii="Calibri" w:eastAsia="宋体" w:cs="Calibri" w:hAnsi="Calibri"/>
      <w:kern w:val="2"/>
      <w:sz w:val="21"/>
      <w:szCs w:val="21"/>
      <w:lang w:val="en-US" w:eastAsia="zh-CN" w:bidi="ar-SA"/>
    </w:rPr>
  </w:style>
  <w:style w:type="paragraph" w:customStyle="1" w:styleId="171">
    <w:name w:val="样式 141 10 磅"/>
    <w:pPr>
      <w:widowControl w:val="0"/>
      <w:jc w:val="both"/>
    </w:pPr>
    <w:rPr>
      <w:rFonts w:ascii="Calibri" w:eastAsia="宋体" w:cs="Calibri" w:hAnsi="Calibri"/>
      <w:kern w:val="2"/>
      <w:sz w:val="21"/>
      <w:szCs w:val="21"/>
      <w:lang w:val="en-US" w:eastAsia="zh-CN" w:bidi="ar-SA"/>
    </w:rPr>
  </w:style>
  <w:style w:type="paragraph" w:customStyle="1" w:styleId="172">
    <w:name w:val="样式 142 10 磅"/>
    <w:pPr>
      <w:widowControl w:val="0"/>
      <w:jc w:val="both"/>
    </w:pPr>
    <w:rPr>
      <w:rFonts w:ascii="Calibri" w:eastAsia="宋体" w:cs="Calibri" w:hAnsi="Calibri"/>
      <w:kern w:val="2"/>
      <w:sz w:val="21"/>
      <w:szCs w:val="21"/>
      <w:lang w:val="en-US" w:eastAsia="zh-CN" w:bidi="ar-SA"/>
    </w:rPr>
  </w:style>
  <w:style w:type="paragraph" w:customStyle="1" w:styleId="173">
    <w:name w:val="样式 143 10 磅"/>
    <w:pPr>
      <w:widowControl w:val="0"/>
      <w:jc w:val="both"/>
    </w:pPr>
    <w:rPr>
      <w:rFonts w:ascii="Calibri" w:eastAsia="宋体" w:cs="Calibri" w:hAnsi="Calibri"/>
      <w:kern w:val="2"/>
      <w:sz w:val="21"/>
      <w:szCs w:val="21"/>
      <w:lang w:val="en-US" w:eastAsia="zh-CN" w:bidi="ar-SA"/>
    </w:rPr>
  </w:style>
  <w:style w:type="paragraph" w:customStyle="1" w:styleId="174">
    <w:name w:val="样式 144 10 磅"/>
    <w:pPr>
      <w:widowControl w:val="0"/>
      <w:jc w:val="both"/>
    </w:pPr>
    <w:rPr>
      <w:rFonts w:ascii="Calibri" w:eastAsia="宋体" w:cs="Calibri" w:hAnsi="Calibri"/>
      <w:kern w:val="2"/>
      <w:sz w:val="21"/>
      <w:szCs w:val="21"/>
      <w:lang w:val="en-US" w:eastAsia="zh-CN" w:bidi="ar-SA"/>
    </w:rPr>
  </w:style>
  <w:style w:type="paragraph" w:customStyle="1" w:styleId="175">
    <w:name w:val="样式 145 10 磅"/>
    <w:pPr>
      <w:widowControl w:val="0"/>
      <w:jc w:val="both"/>
    </w:pPr>
    <w:rPr>
      <w:rFonts w:ascii="Calibri" w:eastAsia="宋体" w:cs="Calibri" w:hAnsi="Calibri"/>
      <w:kern w:val="2"/>
      <w:sz w:val="21"/>
      <w:szCs w:val="21"/>
      <w:lang w:val="en-US" w:eastAsia="zh-CN" w:bidi="ar-SA"/>
    </w:rPr>
  </w:style>
  <w:style w:type="paragraph" w:customStyle="1" w:styleId="176">
    <w:name w:val="样式 146 10 磅"/>
    <w:pPr>
      <w:widowControl w:val="0"/>
      <w:jc w:val="both"/>
    </w:pPr>
    <w:rPr>
      <w:rFonts w:ascii="Calibri" w:eastAsia="宋体" w:cs="Calibri" w:hAnsi="Calibri"/>
      <w:kern w:val="2"/>
      <w:sz w:val="21"/>
      <w:szCs w:val="21"/>
      <w:lang w:val="en-US" w:eastAsia="zh-CN" w:bidi="ar-SA"/>
    </w:rPr>
  </w:style>
  <w:style w:type="paragraph" w:customStyle="1" w:styleId="177">
    <w:name w:val="样式 147 10 磅"/>
    <w:pPr>
      <w:widowControl w:val="0"/>
      <w:jc w:val="both"/>
    </w:pPr>
    <w:rPr>
      <w:rFonts w:ascii="Calibri" w:eastAsia="宋体" w:cs="Calibri" w:hAnsi="Calibri"/>
      <w:kern w:val="2"/>
      <w:sz w:val="21"/>
      <w:szCs w:val="21"/>
      <w:lang w:val="en-US" w:eastAsia="zh-CN" w:bidi="ar-SA"/>
    </w:rPr>
  </w:style>
  <w:style w:type="paragraph" w:customStyle="1" w:styleId="178">
    <w:name w:val="样式 148 10 磅"/>
    <w:pPr>
      <w:widowControl w:val="0"/>
      <w:jc w:val="both"/>
    </w:pPr>
    <w:rPr>
      <w:rFonts w:ascii="Calibri" w:eastAsia="宋体" w:cs="Calibri" w:hAnsi="Calibri"/>
      <w:kern w:val="2"/>
      <w:sz w:val="21"/>
      <w:szCs w:val="21"/>
      <w:lang w:val="en-US" w:eastAsia="zh-CN" w:bidi="ar-SA"/>
    </w:rPr>
  </w:style>
  <w:style w:type="paragraph" w:customStyle="1" w:styleId="179">
    <w:name w:val="样式 149 10 磅"/>
    <w:pPr>
      <w:widowControl w:val="0"/>
      <w:jc w:val="both"/>
    </w:pPr>
    <w:rPr>
      <w:rFonts w:ascii="Calibri" w:eastAsia="宋体" w:cs="Calibri" w:hAnsi="Calibri"/>
      <w:kern w:val="2"/>
      <w:sz w:val="21"/>
      <w:szCs w:val="21"/>
      <w:lang w:val="en-US" w:eastAsia="zh-CN" w:bidi="ar-SA"/>
    </w:rPr>
  </w:style>
  <w:style w:type="paragraph" w:customStyle="1" w:styleId="180">
    <w:name w:val="样式 150 10 磅"/>
    <w:pPr>
      <w:widowControl w:val="0"/>
      <w:jc w:val="both"/>
    </w:pPr>
    <w:rPr>
      <w:rFonts w:ascii="Calibri" w:eastAsia="宋体" w:cs="Calibri" w:hAnsi="Calibri"/>
      <w:kern w:val="2"/>
      <w:sz w:val="21"/>
      <w:szCs w:val="21"/>
      <w:lang w:val="en-US" w:eastAsia="zh-CN" w:bidi="ar-SA"/>
    </w:rPr>
  </w:style>
  <w:style w:type="paragraph" w:customStyle="1" w:styleId="181">
    <w:name w:val="样式 151 10 磅"/>
    <w:pPr>
      <w:widowControl w:val="0"/>
      <w:jc w:val="both"/>
    </w:pPr>
    <w:rPr>
      <w:rFonts w:ascii="Calibri" w:eastAsia="宋体" w:cs="Calibri" w:hAnsi="Calibri"/>
      <w:kern w:val="2"/>
      <w:sz w:val="21"/>
      <w:szCs w:val="21"/>
      <w:lang w:val="en-US" w:eastAsia="zh-CN" w:bidi="ar-SA"/>
    </w:rPr>
  </w:style>
  <w:style w:type="paragraph" w:customStyle="1" w:styleId="182">
    <w:name w:val="样式 152 10 磅"/>
    <w:pPr>
      <w:widowControl w:val="0"/>
      <w:jc w:val="both"/>
    </w:pPr>
    <w:rPr>
      <w:rFonts w:ascii="Calibri" w:eastAsia="宋体" w:cs="Calibri" w:hAnsi="Calibri"/>
      <w:kern w:val="2"/>
      <w:sz w:val="21"/>
      <w:szCs w:val="21"/>
      <w:lang w:val="en-US" w:eastAsia="zh-CN" w:bidi="ar-SA"/>
    </w:rPr>
  </w:style>
  <w:style w:type="paragraph" w:customStyle="1" w:styleId="183">
    <w:name w:val="样式 153 10 磅"/>
    <w:pPr>
      <w:widowControl w:val="0"/>
      <w:jc w:val="both"/>
    </w:pPr>
    <w:rPr>
      <w:rFonts w:ascii="Calibri" w:eastAsia="宋体" w:cs="Calibri" w:hAnsi="Calibri"/>
      <w:kern w:val="2"/>
      <w:sz w:val="21"/>
      <w:szCs w:val="21"/>
      <w:lang w:val="en-US" w:eastAsia="zh-CN" w:bidi="ar-SA"/>
    </w:rPr>
  </w:style>
  <w:style w:type="paragraph" w:customStyle="1" w:styleId="184">
    <w:name w:val="样式 154 10 磅"/>
    <w:pPr>
      <w:widowControl w:val="0"/>
      <w:jc w:val="both"/>
    </w:pPr>
    <w:rPr>
      <w:rFonts w:ascii="Calibri" w:eastAsia="宋体" w:cs="Calibri" w:hAnsi="Calibri"/>
      <w:kern w:val="2"/>
      <w:sz w:val="21"/>
      <w:szCs w:val="21"/>
      <w:lang w:val="en-US" w:eastAsia="zh-CN" w:bidi="ar-SA"/>
    </w:rPr>
  </w:style>
  <w:style w:type="paragraph" w:customStyle="1" w:styleId="185">
    <w:name w:val="样式 155 10 磅"/>
    <w:pPr>
      <w:widowControl w:val="0"/>
      <w:jc w:val="both"/>
    </w:pPr>
    <w:rPr>
      <w:rFonts w:ascii="Calibri" w:eastAsia="宋体" w:cs="Calibri" w:hAnsi="Calibri"/>
      <w:kern w:val="2"/>
      <w:sz w:val="21"/>
      <w:szCs w:val="21"/>
      <w:lang w:val="en-US" w:eastAsia="zh-CN" w:bidi="ar-SA"/>
    </w:rPr>
  </w:style>
  <w:style w:type="paragraph" w:customStyle="1" w:styleId="186">
    <w:name w:val="样式 156 10 磅"/>
    <w:pPr>
      <w:widowControl w:val="0"/>
      <w:jc w:val="both"/>
    </w:pPr>
    <w:rPr>
      <w:rFonts w:ascii="Calibri" w:eastAsia="宋体" w:cs="Calibri" w:hAnsi="Calibri"/>
      <w:kern w:val="2"/>
      <w:sz w:val="21"/>
      <w:szCs w:val="21"/>
      <w:lang w:val="en-US" w:eastAsia="zh-CN" w:bidi="ar-SA"/>
    </w:rPr>
  </w:style>
  <w:style w:type="paragraph" w:customStyle="1" w:styleId="187">
    <w:name w:val="样式 157 10 磅"/>
    <w:pPr>
      <w:widowControl w:val="0"/>
      <w:jc w:val="both"/>
    </w:pPr>
    <w:rPr>
      <w:rFonts w:ascii="Calibri" w:eastAsia="宋体" w:cs="Calibri" w:hAnsi="Calibri"/>
      <w:kern w:val="2"/>
      <w:sz w:val="21"/>
      <w:szCs w:val="21"/>
      <w:lang w:val="en-US" w:eastAsia="zh-CN" w:bidi="ar-SA"/>
    </w:rPr>
  </w:style>
  <w:style w:type="paragraph" w:customStyle="1" w:styleId="188">
    <w:name w:val="样式 158 10 磅"/>
    <w:pPr>
      <w:widowControl w:val="0"/>
      <w:jc w:val="both"/>
    </w:pPr>
    <w:rPr>
      <w:rFonts w:ascii="Calibri" w:eastAsia="宋体" w:cs="Calibri" w:hAnsi="Calibri"/>
      <w:kern w:val="2"/>
      <w:sz w:val="21"/>
      <w:szCs w:val="21"/>
      <w:lang w:val="en-US" w:eastAsia="zh-CN" w:bidi="ar-SA"/>
    </w:rPr>
  </w:style>
  <w:style w:type="paragraph" w:customStyle="1" w:styleId="189">
    <w:name w:val="样式 159 10 磅"/>
    <w:pPr>
      <w:widowControl w:val="0"/>
      <w:jc w:val="both"/>
    </w:pPr>
    <w:rPr>
      <w:rFonts w:ascii="Calibri" w:eastAsia="宋体" w:cs="Calibri" w:hAnsi="Calibri"/>
      <w:kern w:val="2"/>
      <w:sz w:val="21"/>
      <w:szCs w:val="21"/>
      <w:lang w:val="en-US" w:eastAsia="zh-CN" w:bidi="ar-SA"/>
    </w:rPr>
  </w:style>
  <w:style w:type="paragraph" w:customStyle="1" w:styleId="190">
    <w:name w:val="样式 160 10 磅"/>
    <w:pPr>
      <w:widowControl w:val="0"/>
      <w:jc w:val="both"/>
    </w:pPr>
    <w:rPr>
      <w:rFonts w:ascii="Calibri" w:eastAsia="宋体" w:cs="Calibri" w:hAnsi="Calibri"/>
      <w:kern w:val="2"/>
      <w:sz w:val="21"/>
      <w:szCs w:val="21"/>
      <w:lang w:val="en-US" w:eastAsia="zh-CN" w:bidi="ar-SA"/>
    </w:rPr>
  </w:style>
  <w:style w:type="paragraph" w:customStyle="1" w:styleId="191">
    <w:name w:val="样式 161 10 磅"/>
    <w:pPr>
      <w:widowControl w:val="0"/>
      <w:jc w:val="both"/>
    </w:pPr>
    <w:rPr>
      <w:rFonts w:ascii="Calibri" w:eastAsia="宋体" w:cs="Calibri" w:hAnsi="Calibri"/>
      <w:kern w:val="2"/>
      <w:sz w:val="21"/>
      <w:szCs w:val="21"/>
      <w:lang w:val="en-US" w:eastAsia="zh-CN" w:bidi="ar-SA"/>
    </w:rPr>
  </w:style>
  <w:style w:type="paragraph" w:customStyle="1" w:styleId="192">
    <w:name w:val="样式 162 10 磅"/>
    <w:pPr>
      <w:widowControl w:val="0"/>
      <w:jc w:val="both"/>
    </w:pPr>
    <w:rPr>
      <w:rFonts w:ascii="Calibri" w:eastAsia="宋体" w:cs="Calibri" w:hAnsi="Calibri"/>
      <w:kern w:val="2"/>
      <w:sz w:val="21"/>
      <w:szCs w:val="21"/>
      <w:lang w:val="en-US" w:eastAsia="zh-CN" w:bidi="ar-SA"/>
    </w:rPr>
  </w:style>
  <w:style w:type="paragraph" w:customStyle="1" w:styleId="193">
    <w:name w:val="样式 163 10 磅"/>
    <w:pPr>
      <w:widowControl w:val="0"/>
      <w:jc w:val="both"/>
    </w:pPr>
    <w:rPr>
      <w:rFonts w:ascii="Calibri" w:eastAsia="宋体" w:cs="Calibri" w:hAnsi="Calibri"/>
      <w:kern w:val="2"/>
      <w:sz w:val="21"/>
      <w:szCs w:val="21"/>
      <w:lang w:val="en-US" w:eastAsia="zh-CN" w:bidi="ar-SA"/>
    </w:rPr>
  </w:style>
  <w:style w:type="paragraph" w:customStyle="1" w:styleId="194">
    <w:name w:val="样式 164 10 磅"/>
    <w:pPr>
      <w:widowControl w:val="0"/>
      <w:jc w:val="both"/>
    </w:pPr>
    <w:rPr>
      <w:rFonts w:ascii="Calibri" w:eastAsia="宋体" w:cs="Calibri" w:hAnsi="Calibri"/>
      <w:kern w:val="2"/>
      <w:sz w:val="21"/>
      <w:szCs w:val="21"/>
      <w:lang w:val="en-US" w:eastAsia="zh-CN" w:bidi="ar-SA"/>
    </w:rPr>
  </w:style>
  <w:style w:type="paragraph" w:customStyle="1" w:styleId="195">
    <w:name w:val="样式 165 10 磅"/>
    <w:pPr>
      <w:widowControl w:val="0"/>
      <w:jc w:val="both"/>
    </w:pPr>
    <w:rPr>
      <w:rFonts w:ascii="Calibri" w:eastAsia="宋体" w:cs="Calibri" w:hAnsi="Calibri"/>
      <w:kern w:val="2"/>
      <w:sz w:val="21"/>
      <w:szCs w:val="21"/>
      <w:lang w:val="en-US" w:eastAsia="zh-CN" w:bidi="ar-SA"/>
    </w:rPr>
  </w:style>
  <w:style w:type="paragraph" w:customStyle="1" w:styleId="196">
    <w:name w:val="样式 166 10 磅"/>
    <w:pPr>
      <w:widowControl w:val="0"/>
      <w:jc w:val="both"/>
    </w:pPr>
    <w:rPr>
      <w:rFonts w:ascii="Calibri" w:eastAsia="宋体" w:cs="Calibri" w:hAnsi="Calibri"/>
      <w:kern w:val="2"/>
      <w:sz w:val="21"/>
      <w:szCs w:val="21"/>
      <w:lang w:val="en-US" w:eastAsia="zh-CN" w:bidi="ar-SA"/>
    </w:rPr>
  </w:style>
  <w:style w:type="paragraph" w:customStyle="1" w:styleId="197">
    <w:name w:val="样式 167 10 磅"/>
    <w:pPr>
      <w:widowControl w:val="0"/>
      <w:jc w:val="both"/>
    </w:pPr>
    <w:rPr>
      <w:rFonts w:ascii="Calibri" w:eastAsia="宋体" w:cs="Calibri" w:hAnsi="Calibri"/>
      <w:kern w:val="2"/>
      <w:sz w:val="21"/>
      <w:szCs w:val="21"/>
      <w:lang w:val="en-US" w:eastAsia="zh-CN" w:bidi="ar-SA"/>
    </w:rPr>
  </w:style>
  <w:style w:type="paragraph" w:customStyle="1" w:styleId="198">
    <w:name w:val="样式 168 10 磅"/>
    <w:pPr>
      <w:widowControl w:val="0"/>
      <w:jc w:val="both"/>
    </w:pPr>
    <w:rPr>
      <w:rFonts w:ascii="Calibri" w:eastAsia="宋体" w:cs="Calibri" w:hAnsi="Calibri"/>
      <w:kern w:val="2"/>
      <w:sz w:val="21"/>
      <w:szCs w:val="21"/>
      <w:lang w:val="en-US" w:eastAsia="zh-CN" w:bidi="ar-SA"/>
    </w:rPr>
  </w:style>
  <w:style w:type="paragraph" w:customStyle="1" w:styleId="199">
    <w:name w:val="样式 169 10 磅"/>
    <w:pPr>
      <w:widowControl w:val="0"/>
      <w:jc w:val="both"/>
    </w:pPr>
    <w:rPr>
      <w:rFonts w:ascii="Calibri" w:eastAsia="宋体" w:cs="Calibri" w:hAnsi="Calibri"/>
      <w:kern w:val="2"/>
      <w:sz w:val="21"/>
      <w:szCs w:val="21"/>
      <w:lang w:val="en-US" w:eastAsia="zh-CN" w:bidi="ar-SA"/>
    </w:rPr>
  </w:style>
  <w:style w:type="paragraph" w:customStyle="1" w:styleId="200">
    <w:name w:val="样式 170 10 磅"/>
    <w:pPr>
      <w:widowControl w:val="0"/>
      <w:jc w:val="both"/>
    </w:pPr>
    <w:rPr>
      <w:rFonts w:ascii="Calibri" w:eastAsia="宋体" w:cs="Calibri" w:hAnsi="Calibri"/>
      <w:kern w:val="2"/>
      <w:sz w:val="21"/>
      <w:szCs w:val="21"/>
      <w:lang w:val="en-US" w:eastAsia="zh-CN" w:bidi="ar-SA"/>
    </w:rPr>
  </w:style>
  <w:style w:type="paragraph" w:customStyle="1" w:styleId="201">
    <w:name w:val="样式 171 10 磅"/>
    <w:pPr>
      <w:widowControl w:val="0"/>
      <w:jc w:val="both"/>
    </w:pPr>
    <w:rPr>
      <w:rFonts w:ascii="Calibri" w:eastAsia="宋体" w:cs="Calibri" w:hAnsi="Calibri"/>
      <w:kern w:val="2"/>
      <w:sz w:val="21"/>
      <w:szCs w:val="21"/>
      <w:lang w:val="en-US" w:eastAsia="zh-CN" w:bidi="ar-SA"/>
    </w:rPr>
  </w:style>
  <w:style w:type="paragraph" w:customStyle="1" w:styleId="202">
    <w:name w:val="样式 172 10 磅"/>
    <w:pPr>
      <w:widowControl w:val="0"/>
      <w:jc w:val="both"/>
    </w:pPr>
    <w:rPr>
      <w:rFonts w:ascii="Calibri" w:eastAsia="宋体" w:cs="Calibri" w:hAnsi="Calibri"/>
      <w:kern w:val="2"/>
      <w:sz w:val="21"/>
      <w:szCs w:val="21"/>
      <w:lang w:val="en-US" w:eastAsia="zh-CN" w:bidi="ar-SA"/>
    </w:rPr>
  </w:style>
  <w:style w:type="paragraph" w:customStyle="1" w:styleId="203">
    <w:name w:val="样式 173 10 磅"/>
    <w:pPr>
      <w:widowControl w:val="0"/>
      <w:jc w:val="both"/>
    </w:pPr>
    <w:rPr>
      <w:rFonts w:ascii="Calibri" w:eastAsia="宋体" w:cs="Calibri" w:hAnsi="Calibri"/>
      <w:kern w:val="2"/>
      <w:sz w:val="21"/>
      <w:szCs w:val="21"/>
      <w:lang w:val="en-US" w:eastAsia="zh-CN" w:bidi="ar-SA"/>
    </w:rPr>
  </w:style>
  <w:style w:type="paragraph" w:customStyle="1" w:styleId="204">
    <w:name w:val="样式 174 10 磅"/>
    <w:pPr>
      <w:widowControl w:val="0"/>
      <w:jc w:val="both"/>
    </w:pPr>
    <w:rPr>
      <w:rFonts w:ascii="Calibri" w:eastAsia="宋体" w:cs="Calibri" w:hAnsi="Calibri"/>
      <w:kern w:val="2"/>
      <w:sz w:val="21"/>
      <w:szCs w:val="21"/>
      <w:lang w:val="en-US" w:eastAsia="zh-CN" w:bidi="ar-SA"/>
    </w:rPr>
  </w:style>
  <w:style w:type="paragraph" w:customStyle="1" w:styleId="205">
    <w:name w:val="样式 175 10 磅"/>
    <w:pPr>
      <w:widowControl w:val="0"/>
      <w:jc w:val="both"/>
    </w:pPr>
    <w:rPr>
      <w:rFonts w:ascii="Calibri" w:eastAsia="宋体" w:cs="Calibri" w:hAnsi="Calibri"/>
      <w:kern w:val="2"/>
      <w:sz w:val="21"/>
      <w:szCs w:val="21"/>
      <w:lang w:val="en-US" w:eastAsia="zh-CN" w:bidi="ar-SA"/>
    </w:rPr>
  </w:style>
  <w:style w:type="paragraph" w:customStyle="1" w:styleId="206">
    <w:name w:val="样式 176 10 磅"/>
    <w:pPr>
      <w:widowControl w:val="0"/>
      <w:jc w:val="both"/>
    </w:pPr>
    <w:rPr>
      <w:rFonts w:ascii="Calibri" w:eastAsia="宋体" w:cs="Calibri" w:hAnsi="Calibri"/>
      <w:kern w:val="2"/>
      <w:sz w:val="21"/>
      <w:szCs w:val="21"/>
      <w:lang w:val="en-US" w:eastAsia="zh-CN" w:bidi="ar-SA"/>
    </w:rPr>
  </w:style>
  <w:style w:type="paragraph" w:customStyle="1" w:styleId="207">
    <w:name w:val="样式 177 10 磅"/>
    <w:pPr>
      <w:widowControl w:val="0"/>
      <w:jc w:val="both"/>
    </w:pPr>
    <w:rPr>
      <w:rFonts w:ascii="Calibri" w:eastAsia="宋体" w:cs="Calibri" w:hAnsi="Calibri"/>
      <w:kern w:val="2"/>
      <w:sz w:val="21"/>
      <w:szCs w:val="21"/>
      <w:lang w:val="en-US" w:eastAsia="zh-CN" w:bidi="ar-SA"/>
    </w:rPr>
  </w:style>
  <w:style w:type="paragraph" w:customStyle="1" w:styleId="208">
    <w:name w:val="样式 178 10 磅"/>
    <w:pPr>
      <w:widowControl w:val="0"/>
      <w:jc w:val="both"/>
    </w:pPr>
    <w:rPr>
      <w:rFonts w:ascii="Calibri" w:eastAsia="宋体" w:cs="Calibri" w:hAnsi="Calibri"/>
      <w:kern w:val="2"/>
      <w:sz w:val="21"/>
      <w:szCs w:val="21"/>
      <w:lang w:val="en-US" w:eastAsia="zh-CN" w:bidi="ar-SA"/>
    </w:rPr>
  </w:style>
  <w:style w:type="paragraph" w:customStyle="1" w:styleId="209">
    <w:name w:val="样式 179 10 磅"/>
    <w:pPr>
      <w:widowControl w:val="0"/>
      <w:jc w:val="both"/>
    </w:pPr>
    <w:rPr>
      <w:rFonts w:ascii="Calibri" w:eastAsia="宋体" w:cs="Calibri" w:hAnsi="Calibri"/>
      <w:kern w:val="2"/>
      <w:sz w:val="21"/>
      <w:szCs w:val="21"/>
      <w:lang w:val="en-US" w:eastAsia="zh-CN" w:bidi="ar-SA"/>
    </w:rPr>
  </w:style>
  <w:style w:type="paragraph" w:customStyle="1" w:styleId="210">
    <w:name w:val="样式 180 10 磅"/>
    <w:pPr>
      <w:widowControl w:val="0"/>
      <w:jc w:val="both"/>
    </w:pPr>
    <w:rPr>
      <w:rFonts w:ascii="Calibri" w:eastAsia="宋体" w:cs="Calibri" w:hAnsi="Calibri"/>
      <w:kern w:val="2"/>
      <w:sz w:val="21"/>
      <w:szCs w:val="21"/>
      <w:lang w:val="en-US" w:eastAsia="zh-CN" w:bidi="ar-SA"/>
    </w:rPr>
  </w:style>
  <w:style w:type="paragraph" w:customStyle="1" w:styleId="211">
    <w:name w:val="样式 181 10 磅"/>
    <w:pPr>
      <w:widowControl w:val="0"/>
      <w:jc w:val="both"/>
    </w:pPr>
    <w:rPr>
      <w:rFonts w:ascii="Calibri" w:eastAsia="宋体" w:cs="Calibri" w:hAnsi="Calibri"/>
      <w:kern w:val="2"/>
      <w:sz w:val="21"/>
      <w:szCs w:val="21"/>
      <w:lang w:val="en-US" w:eastAsia="zh-CN" w:bidi="ar-SA"/>
    </w:rPr>
  </w:style>
  <w:style w:type="paragraph" w:customStyle="1" w:styleId="212">
    <w:name w:val="样式 182 10 磅"/>
    <w:pPr>
      <w:widowControl w:val="0"/>
      <w:jc w:val="both"/>
    </w:pPr>
    <w:rPr>
      <w:rFonts w:ascii="Calibri" w:eastAsia="宋体" w:cs="Calibri" w:hAnsi="Calibri"/>
      <w:kern w:val="2"/>
      <w:sz w:val="21"/>
      <w:szCs w:val="21"/>
      <w:lang w:val="en-US" w:eastAsia="zh-CN" w:bidi="ar-SA"/>
    </w:rPr>
  </w:style>
  <w:style w:type="paragraph" w:customStyle="1" w:styleId="213">
    <w:name w:val="样式 183 10 磅"/>
    <w:pPr>
      <w:widowControl w:val="0"/>
      <w:jc w:val="both"/>
    </w:pPr>
    <w:rPr>
      <w:rFonts w:ascii="Calibri" w:eastAsia="宋体" w:cs="Calibri" w:hAnsi="Calibri"/>
      <w:kern w:val="2"/>
      <w:sz w:val="21"/>
      <w:szCs w:val="21"/>
      <w:lang w:val="en-US" w:eastAsia="zh-CN" w:bidi="ar-SA"/>
    </w:rPr>
  </w:style>
  <w:style w:type="paragraph" w:customStyle="1" w:styleId="214">
    <w:name w:val="样式 184 10 磅"/>
    <w:pPr>
      <w:widowControl w:val="0"/>
      <w:jc w:val="both"/>
    </w:pPr>
    <w:rPr>
      <w:rFonts w:ascii="Calibri" w:eastAsia="宋体" w:cs="Calibri" w:hAnsi="Calibri"/>
      <w:kern w:val="2"/>
      <w:sz w:val="21"/>
      <w:szCs w:val="21"/>
      <w:lang w:val="en-US" w:eastAsia="zh-CN" w:bidi="ar-SA"/>
    </w:rPr>
  </w:style>
  <w:style w:type="paragraph" w:customStyle="1" w:styleId="215">
    <w:name w:val="样式 185 10 磅"/>
    <w:pPr>
      <w:widowControl w:val="0"/>
      <w:jc w:val="both"/>
    </w:pPr>
    <w:rPr>
      <w:rFonts w:ascii="Calibri" w:eastAsia="宋体" w:cs="Calibri" w:hAnsi="Calibri"/>
      <w:kern w:val="2"/>
      <w:sz w:val="21"/>
      <w:szCs w:val="21"/>
      <w:lang w:val="en-US" w:eastAsia="zh-CN" w:bidi="ar-SA"/>
    </w:rPr>
  </w:style>
  <w:style w:type="paragraph" w:customStyle="1" w:styleId="216">
    <w:name w:val="样式 186 10 磅"/>
    <w:pPr>
      <w:widowControl w:val="0"/>
      <w:jc w:val="both"/>
    </w:pPr>
    <w:rPr>
      <w:rFonts w:ascii="Calibri" w:eastAsia="宋体" w:cs="Calibri" w:hAnsi="Calibri"/>
      <w:kern w:val="2"/>
      <w:sz w:val="21"/>
      <w:szCs w:val="21"/>
      <w:lang w:val="en-US" w:eastAsia="zh-CN" w:bidi="ar-SA"/>
    </w:rPr>
  </w:style>
  <w:style w:type="paragraph" w:customStyle="1" w:styleId="217">
    <w:name w:val="样式 187 10 磅"/>
    <w:pPr>
      <w:widowControl w:val="0"/>
      <w:jc w:val="both"/>
    </w:pPr>
    <w:rPr>
      <w:rFonts w:ascii="Calibri" w:eastAsia="宋体" w:cs="Calibri" w:hAnsi="Calibri"/>
      <w:kern w:val="2"/>
      <w:sz w:val="21"/>
      <w:szCs w:val="21"/>
      <w:lang w:val="en-US" w:eastAsia="zh-CN" w:bidi="ar-SA"/>
    </w:rPr>
  </w:style>
  <w:style w:type="paragraph" w:customStyle="1" w:styleId="218">
    <w:name w:val="样式 188 10 磅"/>
    <w:pPr>
      <w:widowControl w:val="0"/>
      <w:jc w:val="both"/>
    </w:pPr>
    <w:rPr>
      <w:rFonts w:ascii="Calibri" w:eastAsia="宋体" w:cs="Calibri" w:hAnsi="Calibri"/>
      <w:kern w:val="2"/>
      <w:sz w:val="21"/>
      <w:szCs w:val="21"/>
      <w:lang w:val="en-US" w:eastAsia="zh-CN" w:bidi="ar-SA"/>
    </w:rPr>
  </w:style>
  <w:style w:type="paragraph" w:customStyle="1" w:styleId="219">
    <w:name w:val="样式 189 10 磅"/>
    <w:pPr>
      <w:widowControl w:val="0"/>
      <w:jc w:val="both"/>
    </w:pPr>
    <w:rPr>
      <w:rFonts w:ascii="Calibri" w:eastAsia="宋体" w:cs="Calibri" w:hAnsi="Calibri"/>
      <w:kern w:val="2"/>
      <w:sz w:val="21"/>
      <w:szCs w:val="21"/>
      <w:lang w:val="en-US" w:eastAsia="zh-CN" w:bidi="ar-SA"/>
    </w:rPr>
  </w:style>
  <w:style w:type="paragraph" w:customStyle="1" w:styleId="220">
    <w:name w:val="样式 190 10 磅"/>
    <w:pPr>
      <w:widowControl w:val="0"/>
      <w:jc w:val="both"/>
    </w:pPr>
    <w:rPr>
      <w:rFonts w:ascii="Calibri" w:eastAsia="宋体" w:cs="Calibri" w:hAnsi="Calibri"/>
      <w:kern w:val="2"/>
      <w:sz w:val="21"/>
      <w:szCs w:val="21"/>
      <w:lang w:val="en-US" w:eastAsia="zh-CN" w:bidi="ar-SA"/>
    </w:rPr>
  </w:style>
  <w:style w:type="paragraph" w:customStyle="1" w:styleId="221">
    <w:name w:val="样式 191 10 磅"/>
    <w:pPr>
      <w:widowControl w:val="0"/>
      <w:jc w:val="both"/>
    </w:pPr>
    <w:rPr>
      <w:rFonts w:ascii="Calibri" w:eastAsia="宋体" w:cs="Calibri" w:hAnsi="Calibri"/>
      <w:kern w:val="2"/>
      <w:sz w:val="21"/>
      <w:szCs w:val="21"/>
      <w:lang w:val="en-US" w:eastAsia="zh-CN" w:bidi="ar-SA"/>
    </w:rPr>
  </w:style>
  <w:style w:type="paragraph" w:customStyle="1" w:styleId="222">
    <w:name w:val="样式 192 10 磅"/>
    <w:pPr>
      <w:widowControl w:val="0"/>
      <w:jc w:val="both"/>
    </w:pPr>
    <w:rPr>
      <w:rFonts w:ascii="Calibri" w:eastAsia="宋体" w:cs="Calibri" w:hAnsi="Calibri"/>
      <w:kern w:val="2"/>
      <w:sz w:val="21"/>
      <w:szCs w:val="21"/>
      <w:lang w:val="en-US" w:eastAsia="zh-CN" w:bidi="ar-SA"/>
    </w:rPr>
  </w:style>
  <w:style w:type="paragraph" w:customStyle="1" w:styleId="223">
    <w:name w:val="样式 193 10 磅"/>
    <w:pPr>
      <w:widowControl w:val="0"/>
      <w:jc w:val="both"/>
    </w:pPr>
    <w:rPr>
      <w:rFonts w:ascii="Calibri" w:eastAsia="宋体" w:cs="Calibri" w:hAnsi="Calibri"/>
      <w:kern w:val="2"/>
      <w:sz w:val="21"/>
      <w:szCs w:val="21"/>
      <w:lang w:val="en-US" w:eastAsia="zh-CN" w:bidi="ar-SA"/>
    </w:rPr>
  </w:style>
  <w:style w:type="paragraph" w:customStyle="1" w:styleId="224">
    <w:name w:val="样式 194 10 磅"/>
    <w:pPr>
      <w:widowControl w:val="0"/>
      <w:jc w:val="both"/>
    </w:pPr>
    <w:rPr>
      <w:rFonts w:ascii="Calibri" w:eastAsia="宋体" w:cs="Calibri" w:hAnsi="Calibri"/>
      <w:kern w:val="2"/>
      <w:sz w:val="21"/>
      <w:szCs w:val="21"/>
      <w:lang w:val="en-US" w:eastAsia="zh-CN" w:bidi="ar-SA"/>
    </w:rPr>
  </w:style>
  <w:style w:type="paragraph" w:customStyle="1" w:styleId="225">
    <w:name w:val="样式 195 10 磅"/>
    <w:pPr>
      <w:widowControl w:val="0"/>
      <w:jc w:val="both"/>
    </w:pPr>
    <w:rPr>
      <w:rFonts w:ascii="Calibri" w:eastAsia="宋体" w:cs="Calibri" w:hAnsi="Calibri"/>
      <w:kern w:val="2"/>
      <w:sz w:val="21"/>
      <w:szCs w:val="21"/>
      <w:lang w:val="en-US" w:eastAsia="zh-CN" w:bidi="ar-SA"/>
    </w:rPr>
  </w:style>
  <w:style w:type="paragraph" w:customStyle="1" w:styleId="226">
    <w:name w:val="样式 196 10 磅"/>
    <w:pPr>
      <w:widowControl w:val="0"/>
      <w:jc w:val="both"/>
    </w:pPr>
    <w:rPr>
      <w:rFonts w:ascii="Calibri" w:eastAsia="宋体" w:cs="Calibri" w:hAnsi="Calibri"/>
      <w:kern w:val="2"/>
      <w:sz w:val="21"/>
      <w:szCs w:val="21"/>
      <w:lang w:val="en-US" w:eastAsia="zh-CN" w:bidi="ar-SA"/>
    </w:rPr>
  </w:style>
  <w:style w:type="paragraph" w:customStyle="1" w:styleId="227">
    <w:name w:val="样式 197 10 磅"/>
    <w:pPr>
      <w:widowControl w:val="0"/>
      <w:jc w:val="both"/>
    </w:pPr>
    <w:rPr>
      <w:rFonts w:ascii="Calibri" w:eastAsia="宋体" w:cs="Calibri" w:hAnsi="Calibri"/>
      <w:kern w:val="2"/>
      <w:sz w:val="21"/>
      <w:szCs w:val="21"/>
      <w:lang w:val="en-US" w:eastAsia="zh-CN" w:bidi="ar-SA"/>
    </w:rPr>
  </w:style>
  <w:style w:type="paragraph" w:customStyle="1" w:styleId="228">
    <w:name w:val="样式 198 10 磅"/>
    <w:pPr>
      <w:widowControl w:val="0"/>
      <w:jc w:val="both"/>
    </w:pPr>
    <w:rPr>
      <w:rFonts w:ascii="Calibri" w:eastAsia="宋体" w:cs="Calibri" w:hAnsi="Calibri"/>
      <w:kern w:val="2"/>
      <w:sz w:val="21"/>
      <w:szCs w:val="21"/>
      <w:lang w:val="en-US" w:eastAsia="zh-CN" w:bidi="ar-SA"/>
    </w:rPr>
  </w:style>
  <w:style w:type="paragraph" w:customStyle="1" w:styleId="229">
    <w:name w:val="样式 199 10 磅"/>
    <w:pPr>
      <w:widowControl w:val="0"/>
      <w:jc w:val="both"/>
    </w:pPr>
    <w:rPr>
      <w:rFonts w:ascii="Calibri" w:eastAsia="宋体" w:cs="Calibri" w:hAnsi="Calibri"/>
      <w:kern w:val="2"/>
      <w:sz w:val="21"/>
      <w:szCs w:val="21"/>
      <w:lang w:val="en-US" w:eastAsia="zh-CN" w:bidi="ar-SA"/>
    </w:rPr>
  </w:style>
  <w:style w:type="paragraph" w:customStyle="1" w:styleId="230">
    <w:name w:val="样式 200 10 磅"/>
    <w:pPr>
      <w:widowControl w:val="0"/>
      <w:jc w:val="both"/>
    </w:pPr>
    <w:rPr>
      <w:rFonts w:ascii="Calibri" w:eastAsia="宋体" w:cs="Calibri" w:hAnsi="Calibri"/>
      <w:kern w:val="2"/>
      <w:sz w:val="21"/>
      <w:szCs w:val="21"/>
      <w:lang w:val="en-US" w:eastAsia="zh-CN" w:bidi="ar-SA"/>
    </w:rPr>
  </w:style>
  <w:style w:type="paragraph" w:customStyle="1" w:styleId="231">
    <w:name w:val="样式 201 10 磅"/>
    <w:pPr>
      <w:widowControl w:val="0"/>
      <w:jc w:val="both"/>
    </w:pPr>
    <w:rPr>
      <w:rFonts w:ascii="Calibri" w:eastAsia="宋体" w:cs="Calibri" w:hAnsi="Calibri"/>
      <w:kern w:val="2"/>
      <w:sz w:val="21"/>
      <w:szCs w:val="21"/>
      <w:lang w:val="en-US" w:eastAsia="zh-CN" w:bidi="ar-SA"/>
    </w:rPr>
  </w:style>
  <w:style w:type="paragraph" w:customStyle="1" w:styleId="232">
    <w:name w:val="样式 202 10 磅"/>
    <w:pPr>
      <w:widowControl w:val="0"/>
      <w:jc w:val="both"/>
    </w:pPr>
    <w:rPr>
      <w:rFonts w:ascii="Calibri" w:eastAsia="宋体" w:cs="Calibri" w:hAnsi="Calibri"/>
      <w:kern w:val="2"/>
      <w:sz w:val="21"/>
      <w:szCs w:val="21"/>
      <w:lang w:val="en-US" w:eastAsia="zh-CN" w:bidi="ar-SA"/>
    </w:rPr>
  </w:style>
  <w:style w:type="paragraph" w:customStyle="1" w:styleId="233">
    <w:name w:val="样式 203 10 磅"/>
    <w:pPr>
      <w:widowControl w:val="0"/>
      <w:jc w:val="both"/>
    </w:pPr>
    <w:rPr>
      <w:rFonts w:ascii="Calibri" w:eastAsia="宋体" w:cs="Calibri" w:hAnsi="Calibri"/>
      <w:kern w:val="2"/>
      <w:sz w:val="21"/>
      <w:szCs w:val="21"/>
      <w:lang w:val="en-US" w:eastAsia="zh-CN" w:bidi="ar-SA"/>
    </w:rPr>
  </w:style>
  <w:style w:type="paragraph" w:customStyle="1" w:styleId="234">
    <w:name w:val="样式 204 10 磅"/>
    <w:pPr>
      <w:widowControl w:val="0"/>
      <w:jc w:val="both"/>
    </w:pPr>
    <w:rPr>
      <w:rFonts w:ascii="Calibri" w:eastAsia="宋体" w:cs="Calibri" w:hAnsi="Calibri"/>
      <w:kern w:val="2"/>
      <w:sz w:val="21"/>
      <w:szCs w:val="21"/>
      <w:lang w:val="en-US" w:eastAsia="zh-CN" w:bidi="ar-SA"/>
    </w:rPr>
  </w:style>
  <w:style w:type="paragraph" w:customStyle="1" w:styleId="235">
    <w:name w:val="样式 205 10 磅"/>
    <w:pPr>
      <w:widowControl w:val="0"/>
      <w:jc w:val="both"/>
    </w:pPr>
    <w:rPr>
      <w:rFonts w:ascii="Calibri" w:eastAsia="宋体" w:cs="Calibri" w:hAnsi="Calibri"/>
      <w:kern w:val="2"/>
      <w:sz w:val="21"/>
      <w:szCs w:val="21"/>
      <w:lang w:val="en-US" w:eastAsia="zh-CN" w:bidi="ar-SA"/>
    </w:rPr>
  </w:style>
  <w:style w:type="paragraph" w:customStyle="1" w:styleId="236">
    <w:name w:val="样式 206 10 磅"/>
    <w:pPr>
      <w:widowControl w:val="0"/>
      <w:jc w:val="both"/>
    </w:pPr>
    <w:rPr>
      <w:rFonts w:ascii="Calibri" w:eastAsia="宋体" w:cs="Calibri" w:hAnsi="Calibri"/>
      <w:kern w:val="2"/>
      <w:sz w:val="21"/>
      <w:szCs w:val="21"/>
      <w:lang w:val="en-US" w:eastAsia="zh-CN" w:bidi="ar-SA"/>
    </w:rPr>
  </w:style>
  <w:style w:type="paragraph" w:customStyle="1" w:styleId="237">
    <w:name w:val="样式 207 10 磅"/>
    <w:pPr>
      <w:widowControl w:val="0"/>
      <w:jc w:val="both"/>
    </w:pPr>
    <w:rPr>
      <w:rFonts w:ascii="Calibri" w:eastAsia="宋体" w:cs="Calibri" w:hAnsi="Calibri"/>
      <w:kern w:val="2"/>
      <w:sz w:val="21"/>
      <w:szCs w:val="21"/>
      <w:lang w:val="en-US" w:eastAsia="zh-CN" w:bidi="ar-SA"/>
    </w:rPr>
  </w:style>
  <w:style w:type="paragraph" w:customStyle="1" w:styleId="238">
    <w:name w:val="样式 208 10 磅"/>
    <w:pPr>
      <w:widowControl w:val="0"/>
      <w:jc w:val="both"/>
    </w:pPr>
    <w:rPr>
      <w:rFonts w:ascii="Calibri" w:eastAsia="宋体" w:cs="Calibri" w:hAnsi="Calibri"/>
      <w:kern w:val="2"/>
      <w:sz w:val="21"/>
      <w:szCs w:val="21"/>
      <w:lang w:val="en-US" w:eastAsia="zh-CN" w:bidi="ar-SA"/>
    </w:rPr>
  </w:style>
  <w:style w:type="paragraph" w:customStyle="1" w:styleId="239">
    <w:name w:val="样式 209 10 磅"/>
    <w:pPr>
      <w:widowControl w:val="0"/>
      <w:jc w:val="both"/>
    </w:pPr>
    <w:rPr>
      <w:rFonts w:ascii="Calibri" w:eastAsia="宋体" w:cs="Calibri" w:hAnsi="Calibri"/>
      <w:kern w:val="2"/>
      <w:sz w:val="21"/>
      <w:szCs w:val="21"/>
      <w:lang w:val="en-US" w:eastAsia="zh-CN" w:bidi="ar-SA"/>
    </w:rPr>
  </w:style>
  <w:style w:type="paragraph" w:customStyle="1" w:styleId="240">
    <w:name w:val="样式 210 10 磅"/>
    <w:pPr>
      <w:widowControl w:val="0"/>
      <w:jc w:val="both"/>
    </w:pPr>
    <w:rPr>
      <w:rFonts w:ascii="Calibri" w:eastAsia="宋体" w:cs="Calibri" w:hAnsi="Calibri"/>
      <w:kern w:val="2"/>
      <w:sz w:val="21"/>
      <w:szCs w:val="21"/>
      <w:lang w:val="en-US" w:eastAsia="zh-CN" w:bidi="ar-SA"/>
    </w:rPr>
  </w:style>
  <w:style w:type="paragraph" w:customStyle="1" w:styleId="241">
    <w:name w:val="样式 211 10 磅"/>
    <w:pPr>
      <w:widowControl w:val="0"/>
      <w:jc w:val="both"/>
    </w:pPr>
    <w:rPr>
      <w:rFonts w:ascii="Calibri" w:eastAsia="宋体" w:cs="Calibri" w:hAnsi="Calibri"/>
      <w:kern w:val="2"/>
      <w:sz w:val="21"/>
      <w:szCs w:val="21"/>
      <w:lang w:val="en-US" w:eastAsia="zh-CN" w:bidi="ar-SA"/>
    </w:rPr>
  </w:style>
  <w:style w:type="paragraph" w:customStyle="1" w:styleId="242">
    <w:name w:val="样式 212 10 磅"/>
    <w:pPr>
      <w:widowControl w:val="0"/>
      <w:jc w:val="both"/>
    </w:pPr>
    <w:rPr>
      <w:rFonts w:ascii="Calibri" w:eastAsia="宋体" w:cs="Calibri" w:hAnsi="Calibri"/>
      <w:kern w:val="2"/>
      <w:sz w:val="21"/>
      <w:szCs w:val="21"/>
      <w:lang w:val="en-US" w:eastAsia="zh-CN" w:bidi="ar-SA"/>
    </w:rPr>
  </w:style>
  <w:style w:type="paragraph" w:customStyle="1" w:styleId="243">
    <w:name w:val="样式 213 10 磅"/>
    <w:pPr>
      <w:widowControl w:val="0"/>
      <w:jc w:val="both"/>
    </w:pPr>
    <w:rPr>
      <w:rFonts w:ascii="Calibri" w:eastAsia="宋体" w:cs="Calibri" w:hAnsi="Calibri"/>
      <w:kern w:val="2"/>
      <w:sz w:val="21"/>
      <w:szCs w:val="21"/>
      <w:lang w:val="en-US" w:eastAsia="zh-CN" w:bidi="ar-SA"/>
    </w:rPr>
  </w:style>
  <w:style w:type="paragraph" w:customStyle="1" w:styleId="244">
    <w:name w:val="样式 214 10 磅"/>
    <w:pPr>
      <w:widowControl w:val="0"/>
      <w:jc w:val="both"/>
    </w:pPr>
    <w:rPr>
      <w:rFonts w:ascii="Calibri" w:eastAsia="宋体" w:cs="Calibri" w:hAnsi="Calibri"/>
      <w:kern w:val="2"/>
      <w:sz w:val="21"/>
      <w:szCs w:val="21"/>
      <w:lang w:val="en-US" w:eastAsia="zh-CN" w:bidi="ar-SA"/>
    </w:rPr>
  </w:style>
  <w:style w:type="paragraph" w:customStyle="1" w:styleId="245">
    <w:name w:val="样式 215 10 磅"/>
    <w:pPr>
      <w:widowControl w:val="0"/>
      <w:jc w:val="both"/>
    </w:pPr>
    <w:rPr>
      <w:rFonts w:ascii="Calibri" w:eastAsia="宋体" w:cs="Calibri" w:hAnsi="Calibri"/>
      <w:kern w:val="2"/>
      <w:sz w:val="21"/>
      <w:szCs w:val="21"/>
      <w:lang w:val="en-US" w:eastAsia="zh-CN" w:bidi="ar-SA"/>
    </w:rPr>
  </w:style>
  <w:style w:type="paragraph" w:customStyle="1" w:styleId="246">
    <w:name w:val="样式 216 10 磅"/>
    <w:pPr>
      <w:widowControl w:val="0"/>
      <w:jc w:val="both"/>
    </w:pPr>
    <w:rPr>
      <w:rFonts w:ascii="Calibri" w:eastAsia="宋体" w:cs="Calibri" w:hAnsi="Calibri"/>
      <w:kern w:val="2"/>
      <w:sz w:val="21"/>
      <w:szCs w:val="21"/>
      <w:lang w:val="en-US" w:eastAsia="zh-CN" w:bidi="ar-SA"/>
    </w:rPr>
  </w:style>
  <w:style w:type="paragraph" w:customStyle="1" w:styleId="247">
    <w:name w:val="样式 217 10 磅"/>
    <w:pPr>
      <w:widowControl w:val="0"/>
      <w:jc w:val="both"/>
    </w:pPr>
    <w:rPr>
      <w:rFonts w:ascii="Calibri" w:eastAsia="宋体" w:cs="Calibri" w:hAnsi="Calibri"/>
      <w:kern w:val="2"/>
      <w:sz w:val="21"/>
      <w:szCs w:val="21"/>
      <w:lang w:val="en-US" w:eastAsia="zh-CN" w:bidi="ar-SA"/>
    </w:rPr>
  </w:style>
  <w:style w:type="paragraph" w:customStyle="1" w:styleId="248">
    <w:name w:val="样式 218 10 磅"/>
    <w:pPr>
      <w:widowControl w:val="0"/>
      <w:jc w:val="both"/>
    </w:pPr>
    <w:rPr>
      <w:rFonts w:ascii="Calibri" w:eastAsia="宋体" w:cs="Calibri" w:hAnsi="Calibri"/>
      <w:kern w:val="2"/>
      <w:sz w:val="21"/>
      <w:szCs w:val="21"/>
      <w:lang w:val="en-US" w:eastAsia="zh-CN" w:bidi="ar-SA"/>
    </w:rPr>
  </w:style>
  <w:style w:type="paragraph" w:customStyle="1" w:styleId="249">
    <w:name w:val="样式 219 10 磅"/>
    <w:pPr>
      <w:widowControl w:val="0"/>
      <w:jc w:val="both"/>
    </w:pPr>
    <w:rPr>
      <w:rFonts w:ascii="Calibri" w:eastAsia="宋体" w:cs="Calibri" w:hAnsi="Calibri"/>
      <w:kern w:val="2"/>
      <w:sz w:val="21"/>
      <w:szCs w:val="21"/>
      <w:lang w:val="en-US" w:eastAsia="zh-CN" w:bidi="ar-SA"/>
    </w:rPr>
  </w:style>
  <w:style w:type="paragraph" w:customStyle="1" w:styleId="250">
    <w:name w:val="样式 220 10 磅"/>
    <w:pPr>
      <w:widowControl w:val="0"/>
      <w:jc w:val="both"/>
    </w:pPr>
    <w:rPr>
      <w:rFonts w:ascii="Calibri" w:eastAsia="宋体" w:cs="Calibri" w:hAnsi="Calibri"/>
      <w:kern w:val="2"/>
      <w:sz w:val="21"/>
      <w:szCs w:val="21"/>
      <w:lang w:val="en-US" w:eastAsia="zh-CN" w:bidi="ar-SA"/>
    </w:rPr>
  </w:style>
  <w:style w:type="paragraph" w:customStyle="1" w:styleId="251">
    <w:name w:val="样式 221 10 磅"/>
    <w:pPr>
      <w:widowControl w:val="0"/>
      <w:jc w:val="both"/>
    </w:pPr>
    <w:rPr>
      <w:rFonts w:ascii="Calibri" w:eastAsia="宋体" w:cs="Calibri" w:hAnsi="Calibri"/>
      <w:kern w:val="2"/>
      <w:sz w:val="21"/>
      <w:szCs w:val="21"/>
      <w:lang w:val="en-US" w:eastAsia="zh-CN" w:bidi="ar-SA"/>
    </w:rPr>
  </w:style>
  <w:style w:type="paragraph" w:customStyle="1" w:styleId="252">
    <w:name w:val="样式 222 10 磅"/>
    <w:pPr>
      <w:widowControl w:val="0"/>
      <w:jc w:val="both"/>
    </w:pPr>
    <w:rPr>
      <w:rFonts w:ascii="Calibri" w:eastAsia="宋体" w:cs="Calibri" w:hAnsi="Calibri"/>
      <w:kern w:val="2"/>
      <w:sz w:val="21"/>
      <w:szCs w:val="21"/>
      <w:lang w:val="en-US" w:eastAsia="zh-CN" w:bidi="ar-SA"/>
    </w:rPr>
  </w:style>
  <w:style w:type="paragraph" w:customStyle="1" w:styleId="253">
    <w:name w:val="样式 223 10 磅"/>
    <w:pPr>
      <w:widowControl w:val="0"/>
      <w:jc w:val="both"/>
    </w:pPr>
    <w:rPr>
      <w:rFonts w:ascii="Calibri" w:eastAsia="宋体" w:cs="Calibri" w:hAnsi="Calibri"/>
      <w:kern w:val="2"/>
      <w:sz w:val="21"/>
      <w:szCs w:val="21"/>
      <w:lang w:val="en-US" w:eastAsia="zh-CN" w:bidi="ar-SA"/>
    </w:rPr>
  </w:style>
  <w:style w:type="paragraph" w:customStyle="1" w:styleId="254">
    <w:name w:val="样式 224 10 磅"/>
    <w:pPr>
      <w:widowControl w:val="0"/>
      <w:jc w:val="both"/>
    </w:pPr>
    <w:rPr>
      <w:rFonts w:ascii="Calibri" w:eastAsia="宋体" w:cs="Calibri" w:hAnsi="Calibri"/>
      <w:kern w:val="2"/>
      <w:sz w:val="21"/>
      <w:szCs w:val="21"/>
      <w:lang w:val="en-US" w:eastAsia="zh-CN" w:bidi="ar-SA"/>
    </w:rPr>
  </w:style>
  <w:style w:type="paragraph" w:customStyle="1" w:styleId="255">
    <w:name w:val="样式 225 10 磅"/>
    <w:pPr>
      <w:widowControl w:val="0"/>
      <w:jc w:val="both"/>
    </w:pPr>
    <w:rPr>
      <w:rFonts w:ascii="Calibri" w:eastAsia="宋体" w:cs="Calibri" w:hAnsi="Calibri"/>
      <w:kern w:val="2"/>
      <w:sz w:val="21"/>
      <w:szCs w:val="21"/>
      <w:lang w:val="en-US" w:eastAsia="zh-CN" w:bidi="ar-SA"/>
    </w:rPr>
  </w:style>
  <w:style w:type="paragraph" w:customStyle="1" w:styleId="256">
    <w:name w:val="样式 226 10 磅"/>
    <w:pPr>
      <w:widowControl w:val="0"/>
      <w:jc w:val="both"/>
    </w:pPr>
    <w:rPr>
      <w:rFonts w:ascii="Calibri" w:eastAsia="宋体" w:cs="Calibri" w:hAnsi="Calibri"/>
      <w:kern w:val="2"/>
      <w:sz w:val="21"/>
      <w:szCs w:val="21"/>
      <w:lang w:val="en-US" w:eastAsia="zh-CN" w:bidi="ar-SA"/>
    </w:rPr>
  </w:style>
  <w:style w:type="paragraph" w:customStyle="1" w:styleId="257">
    <w:name w:val="样式 227 10 磅"/>
    <w:pPr>
      <w:widowControl w:val="0"/>
      <w:jc w:val="both"/>
    </w:pPr>
    <w:rPr>
      <w:rFonts w:ascii="Calibri" w:eastAsia="宋体" w:cs="Calibri" w:hAnsi="Calibri"/>
      <w:kern w:val="2"/>
      <w:sz w:val="21"/>
      <w:szCs w:val="21"/>
      <w:lang w:val="en-US" w:eastAsia="zh-CN" w:bidi="ar-SA"/>
    </w:rPr>
  </w:style>
  <w:style w:type="paragraph" w:customStyle="1" w:styleId="258">
    <w:name w:val="样式 228 10 磅"/>
    <w:pPr>
      <w:widowControl w:val="0"/>
      <w:jc w:val="both"/>
    </w:pPr>
    <w:rPr>
      <w:rFonts w:ascii="Calibri" w:eastAsia="宋体" w:cs="Calibri" w:hAnsi="Calibri"/>
      <w:kern w:val="2"/>
      <w:sz w:val="21"/>
      <w:szCs w:val="21"/>
      <w:lang w:val="en-US" w:eastAsia="zh-CN" w:bidi="ar-SA"/>
    </w:rPr>
  </w:style>
  <w:style w:type="paragraph" w:customStyle="1" w:styleId="259">
    <w:name w:val="样式 229 10 磅"/>
    <w:pPr>
      <w:widowControl w:val="0"/>
      <w:jc w:val="both"/>
    </w:pPr>
    <w:rPr>
      <w:rFonts w:ascii="Calibri" w:eastAsia="宋体" w:cs="Calibri" w:hAnsi="Calibri"/>
      <w:kern w:val="2"/>
      <w:sz w:val="21"/>
      <w:szCs w:val="21"/>
      <w:lang w:val="en-US" w:eastAsia="zh-CN" w:bidi="ar-SA"/>
    </w:rPr>
  </w:style>
  <w:style w:type="paragraph" w:customStyle="1" w:styleId="260">
    <w:name w:val="样式 230 10 磅"/>
    <w:pPr>
      <w:widowControl w:val="0"/>
      <w:jc w:val="both"/>
    </w:pPr>
    <w:rPr>
      <w:rFonts w:ascii="Calibri" w:eastAsia="宋体" w:cs="Calibri" w:hAnsi="Calibri"/>
      <w:kern w:val="2"/>
      <w:sz w:val="21"/>
      <w:szCs w:val="21"/>
      <w:lang w:val="en-US" w:eastAsia="zh-CN" w:bidi="ar-SA"/>
    </w:rPr>
  </w:style>
  <w:style w:type="paragraph" w:customStyle="1" w:styleId="261">
    <w:name w:val="样式 231 10 磅"/>
    <w:pPr>
      <w:widowControl w:val="0"/>
      <w:jc w:val="both"/>
    </w:pPr>
    <w:rPr>
      <w:rFonts w:ascii="Calibri" w:eastAsia="宋体" w:cs="Calibri" w:hAnsi="Calibri"/>
      <w:kern w:val="2"/>
      <w:sz w:val="21"/>
      <w:szCs w:val="21"/>
      <w:lang w:val="en-US" w:eastAsia="zh-CN" w:bidi="ar-SA"/>
    </w:rPr>
  </w:style>
  <w:style w:type="paragraph" w:customStyle="1" w:styleId="262">
    <w:name w:val="样式 232 10 磅"/>
    <w:pPr>
      <w:widowControl w:val="0"/>
      <w:jc w:val="both"/>
    </w:pPr>
    <w:rPr>
      <w:rFonts w:ascii="Calibri" w:eastAsia="宋体" w:cs="Calibri" w:hAnsi="Calibri"/>
      <w:kern w:val="2"/>
      <w:sz w:val="21"/>
      <w:szCs w:val="21"/>
      <w:lang w:val="en-US" w:eastAsia="zh-CN" w:bidi="ar-SA"/>
    </w:rPr>
  </w:style>
  <w:style w:type="paragraph" w:customStyle="1" w:styleId="263">
    <w:name w:val="样式 233 10 磅"/>
    <w:pPr>
      <w:widowControl w:val="0"/>
      <w:jc w:val="both"/>
    </w:pPr>
    <w:rPr>
      <w:rFonts w:ascii="Calibri" w:eastAsia="宋体" w:cs="Calibri" w:hAnsi="Calibri"/>
      <w:kern w:val="2"/>
      <w:sz w:val="21"/>
      <w:szCs w:val="21"/>
      <w:lang w:val="en-US" w:eastAsia="zh-CN" w:bidi="ar-SA"/>
    </w:rPr>
  </w:style>
  <w:style w:type="paragraph" w:customStyle="1" w:styleId="264">
    <w:name w:val="样式 234 10 磅"/>
    <w:pPr>
      <w:widowControl w:val="0"/>
      <w:jc w:val="both"/>
    </w:pPr>
    <w:rPr>
      <w:rFonts w:ascii="Calibri" w:eastAsia="宋体" w:cs="Calibri" w:hAnsi="Calibri"/>
      <w:kern w:val="2"/>
      <w:sz w:val="21"/>
      <w:szCs w:val="21"/>
      <w:lang w:val="en-US" w:eastAsia="zh-CN" w:bidi="ar-SA"/>
    </w:rPr>
  </w:style>
  <w:style w:type="paragraph" w:customStyle="1" w:styleId="265">
    <w:name w:val="样式 235 10 磅"/>
    <w:pPr>
      <w:widowControl w:val="0"/>
      <w:jc w:val="both"/>
    </w:pPr>
    <w:rPr>
      <w:rFonts w:ascii="Calibri" w:eastAsia="宋体" w:cs="Calibri" w:hAnsi="Calibri"/>
      <w:kern w:val="2"/>
      <w:sz w:val="21"/>
      <w:szCs w:val="21"/>
      <w:lang w:val="en-US" w:eastAsia="zh-CN" w:bidi="ar-SA"/>
    </w:rPr>
  </w:style>
  <w:style w:type="paragraph" w:customStyle="1" w:styleId="266">
    <w:name w:val="样式 236 10 磅"/>
    <w:pPr>
      <w:widowControl w:val="0"/>
      <w:jc w:val="both"/>
    </w:pPr>
    <w:rPr>
      <w:rFonts w:ascii="Calibri" w:eastAsia="宋体" w:cs="Calibri" w:hAnsi="Calibri"/>
      <w:kern w:val="2"/>
      <w:sz w:val="21"/>
      <w:szCs w:val="21"/>
      <w:lang w:val="en-US" w:eastAsia="zh-CN" w:bidi="ar-SA"/>
    </w:rPr>
  </w:style>
  <w:style w:type="paragraph" w:customStyle="1" w:styleId="267">
    <w:name w:val="样式 237 10 磅"/>
    <w:pPr>
      <w:widowControl w:val="0"/>
      <w:jc w:val="both"/>
    </w:pPr>
    <w:rPr>
      <w:rFonts w:ascii="Calibri" w:eastAsia="宋体" w:cs="Calibri" w:hAnsi="Calibri"/>
      <w:kern w:val="2"/>
      <w:sz w:val="21"/>
      <w:szCs w:val="21"/>
      <w:lang w:val="en-US" w:eastAsia="zh-CN" w:bidi="ar-SA"/>
    </w:rPr>
  </w:style>
  <w:style w:type="paragraph" w:customStyle="1" w:styleId="268">
    <w:name w:val="样式 238 10 磅"/>
    <w:pPr>
      <w:widowControl w:val="0"/>
      <w:jc w:val="both"/>
    </w:pPr>
    <w:rPr>
      <w:rFonts w:ascii="Calibri" w:eastAsia="宋体" w:cs="Calibri" w:hAnsi="Calibri"/>
      <w:kern w:val="2"/>
      <w:sz w:val="21"/>
      <w:szCs w:val="21"/>
      <w:lang w:val="en-US" w:eastAsia="zh-CN" w:bidi="ar-SA"/>
    </w:rPr>
  </w:style>
  <w:style w:type="paragraph" w:customStyle="1" w:styleId="269">
    <w:name w:val="样式 239 10 磅"/>
    <w:pPr>
      <w:widowControl w:val="0"/>
      <w:jc w:val="both"/>
    </w:pPr>
    <w:rPr>
      <w:rFonts w:ascii="Calibri" w:eastAsia="宋体" w:cs="Calibri" w:hAnsi="Calibri"/>
      <w:kern w:val="2"/>
      <w:sz w:val="21"/>
      <w:szCs w:val="21"/>
      <w:lang w:val="en-US" w:eastAsia="zh-CN" w:bidi="ar-SA"/>
    </w:rPr>
  </w:style>
  <w:style w:type="paragraph" w:customStyle="1" w:styleId="270">
    <w:name w:val="样式 240 10 磅"/>
    <w:pPr>
      <w:widowControl w:val="0"/>
      <w:jc w:val="both"/>
    </w:pPr>
    <w:rPr>
      <w:rFonts w:ascii="Calibri" w:eastAsia="宋体" w:cs="Calibri" w:hAnsi="Calibri"/>
      <w:kern w:val="2"/>
      <w:sz w:val="21"/>
      <w:szCs w:val="21"/>
      <w:lang w:val="en-US" w:eastAsia="zh-CN" w:bidi="ar-SA"/>
    </w:rPr>
  </w:style>
  <w:style w:type="paragraph" w:customStyle="1" w:styleId="271">
    <w:name w:val="样式 241 10 磅"/>
    <w:pPr>
      <w:widowControl w:val="0"/>
      <w:jc w:val="both"/>
    </w:pPr>
    <w:rPr>
      <w:rFonts w:ascii="Calibri" w:eastAsia="宋体" w:cs="Calibri" w:hAnsi="Calibri"/>
      <w:kern w:val="2"/>
      <w:sz w:val="21"/>
      <w:szCs w:val="21"/>
      <w:lang w:val="en-US" w:eastAsia="zh-CN" w:bidi="ar-SA"/>
    </w:rPr>
  </w:style>
  <w:style w:type="paragraph" w:customStyle="1" w:styleId="272">
    <w:name w:val="样式 242 10 磅"/>
    <w:pPr>
      <w:widowControl w:val="0"/>
      <w:jc w:val="both"/>
    </w:pPr>
    <w:rPr>
      <w:rFonts w:ascii="Calibri" w:eastAsia="宋体" w:cs="Calibri" w:hAnsi="Calibri"/>
      <w:kern w:val="2"/>
      <w:sz w:val="21"/>
      <w:szCs w:val="21"/>
      <w:lang w:val="en-US" w:eastAsia="zh-CN" w:bidi="ar-SA"/>
    </w:rPr>
  </w:style>
  <w:style w:type="paragraph" w:customStyle="1" w:styleId="273">
    <w:name w:val="样式 243 10 磅"/>
    <w:pPr>
      <w:widowControl w:val="0"/>
      <w:jc w:val="both"/>
    </w:pPr>
    <w:rPr>
      <w:rFonts w:ascii="Calibri" w:eastAsia="宋体" w:cs="Calibri" w:hAnsi="Calibri"/>
      <w:kern w:val="2"/>
      <w:sz w:val="21"/>
      <w:szCs w:val="21"/>
      <w:lang w:val="en-US" w:eastAsia="zh-CN" w:bidi="ar-SA"/>
    </w:rPr>
  </w:style>
  <w:style w:type="paragraph" w:customStyle="1" w:styleId="274">
    <w:name w:val="样式 244 10 磅"/>
    <w:pPr>
      <w:widowControl w:val="0"/>
      <w:jc w:val="both"/>
    </w:pPr>
    <w:rPr>
      <w:rFonts w:ascii="Calibri" w:eastAsia="宋体" w:cs="Calibri" w:hAnsi="Calibri"/>
      <w:kern w:val="2"/>
      <w:sz w:val="21"/>
      <w:szCs w:val="21"/>
      <w:lang w:val="en-US" w:eastAsia="zh-CN" w:bidi="ar-SA"/>
    </w:rPr>
  </w:style>
  <w:style w:type="paragraph" w:customStyle="1" w:styleId="275">
    <w:name w:val="样式 245 10 磅"/>
    <w:pPr>
      <w:widowControl w:val="0"/>
      <w:jc w:val="both"/>
    </w:pPr>
    <w:rPr>
      <w:rFonts w:ascii="Calibri" w:eastAsia="宋体" w:cs="Calibri" w:hAnsi="Calibri"/>
      <w:kern w:val="2"/>
      <w:sz w:val="21"/>
      <w:szCs w:val="21"/>
      <w:lang w:val="en-US" w:eastAsia="zh-CN" w:bidi="ar-SA"/>
    </w:rPr>
  </w:style>
  <w:style w:type="paragraph" w:customStyle="1" w:styleId="276">
    <w:name w:val="样式 246 10 磅"/>
    <w:pPr>
      <w:widowControl w:val="0"/>
      <w:jc w:val="both"/>
    </w:pPr>
    <w:rPr>
      <w:rFonts w:ascii="Calibri" w:eastAsia="宋体" w:cs="Calibri" w:hAnsi="Calibri"/>
      <w:kern w:val="2"/>
      <w:sz w:val="21"/>
      <w:szCs w:val="21"/>
      <w:lang w:val="en-US" w:eastAsia="zh-CN" w:bidi="ar-SA"/>
    </w:rPr>
  </w:style>
  <w:style w:type="paragraph" w:customStyle="1" w:styleId="277">
    <w:name w:val="样式 247 10 磅"/>
    <w:pPr>
      <w:widowControl w:val="0"/>
      <w:jc w:val="both"/>
    </w:pPr>
    <w:rPr>
      <w:rFonts w:ascii="Calibri" w:eastAsia="宋体" w:cs="Calibri" w:hAnsi="Calibri"/>
      <w:kern w:val="2"/>
      <w:sz w:val="21"/>
      <w:szCs w:val="21"/>
      <w:lang w:val="en-US" w:eastAsia="zh-CN" w:bidi="ar-SA"/>
    </w:rPr>
  </w:style>
  <w:style w:type="paragraph" w:customStyle="1" w:styleId="278">
    <w:name w:val="样式 248 10 磅"/>
    <w:pPr>
      <w:widowControl w:val="0"/>
      <w:jc w:val="both"/>
    </w:pPr>
    <w:rPr>
      <w:rFonts w:ascii="Calibri" w:eastAsia="宋体" w:cs="Calibri" w:hAnsi="Calibri"/>
      <w:kern w:val="2"/>
      <w:sz w:val="21"/>
      <w:szCs w:val="21"/>
      <w:lang w:val="en-US" w:eastAsia="zh-CN" w:bidi="ar-SA"/>
    </w:rPr>
  </w:style>
  <w:style w:type="paragraph" w:customStyle="1" w:styleId="279">
    <w:name w:val="样式 249 10 磅"/>
    <w:pPr>
      <w:widowControl w:val="0"/>
      <w:jc w:val="both"/>
    </w:pPr>
    <w:rPr>
      <w:rFonts w:ascii="Calibri" w:eastAsia="宋体" w:cs="Calibri" w:hAnsi="Calibri"/>
      <w:kern w:val="2"/>
      <w:sz w:val="21"/>
      <w:szCs w:val="21"/>
      <w:lang w:val="en-US" w:eastAsia="zh-CN" w:bidi="ar-SA"/>
    </w:rPr>
  </w:style>
  <w:style w:type="paragraph" w:customStyle="1" w:styleId="280">
    <w:name w:val="样式 250 10 磅"/>
    <w:pPr>
      <w:widowControl w:val="0"/>
      <w:jc w:val="both"/>
    </w:pPr>
    <w:rPr>
      <w:rFonts w:ascii="Calibri" w:eastAsia="宋体" w:cs="Calibri" w:hAnsi="Calibri"/>
      <w:kern w:val="2"/>
      <w:sz w:val="21"/>
      <w:szCs w:val="21"/>
      <w:lang w:val="en-US" w:eastAsia="zh-CN" w:bidi="ar-SA"/>
    </w:rPr>
  </w:style>
  <w:style w:type="paragraph" w:customStyle="1" w:styleId="281">
    <w:name w:val="样式 251 10 磅"/>
    <w:pPr>
      <w:widowControl w:val="0"/>
      <w:jc w:val="both"/>
    </w:pPr>
    <w:rPr>
      <w:rFonts w:ascii="Calibri" w:eastAsia="宋体" w:cs="Calibri" w:hAnsi="Calibri"/>
      <w:kern w:val="2"/>
      <w:sz w:val="21"/>
      <w:szCs w:val="21"/>
      <w:lang w:val="en-US" w:eastAsia="zh-CN" w:bidi="ar-SA"/>
    </w:rPr>
  </w:style>
  <w:style w:type="paragraph" w:customStyle="1" w:styleId="282">
    <w:name w:val="样式 252 10 磅"/>
    <w:pPr>
      <w:widowControl w:val="0"/>
      <w:jc w:val="both"/>
    </w:pPr>
    <w:rPr>
      <w:rFonts w:ascii="Calibri" w:eastAsia="宋体" w:cs="Calibri" w:hAnsi="Calibri"/>
      <w:kern w:val="2"/>
      <w:sz w:val="21"/>
      <w:szCs w:val="21"/>
      <w:lang w:val="en-US" w:eastAsia="zh-CN" w:bidi="ar-SA"/>
    </w:rPr>
  </w:style>
  <w:style w:type="paragraph" w:customStyle="1" w:styleId="283">
    <w:name w:val="样式 253 10 磅"/>
    <w:pPr>
      <w:widowControl w:val="0"/>
      <w:jc w:val="both"/>
    </w:pPr>
    <w:rPr>
      <w:rFonts w:ascii="Calibri" w:eastAsia="宋体" w:cs="Calibri" w:hAnsi="Calibri"/>
      <w:kern w:val="2"/>
      <w:sz w:val="21"/>
      <w:szCs w:val="21"/>
      <w:lang w:val="en-US" w:eastAsia="zh-CN" w:bidi="ar-SA"/>
    </w:rPr>
  </w:style>
  <w:style w:type="paragraph" w:customStyle="1" w:styleId="284">
    <w:name w:val="样式 254 10 磅"/>
    <w:pPr>
      <w:widowControl w:val="0"/>
      <w:jc w:val="both"/>
    </w:pPr>
    <w:rPr>
      <w:rFonts w:ascii="Calibri" w:eastAsia="宋体" w:cs="Calibri" w:hAnsi="Calibri"/>
      <w:kern w:val="2"/>
      <w:sz w:val="21"/>
      <w:szCs w:val="21"/>
      <w:lang w:val="en-US" w:eastAsia="zh-CN" w:bidi="ar-SA"/>
    </w:rPr>
  </w:style>
  <w:style w:type="paragraph" w:customStyle="1" w:styleId="285">
    <w:name w:val="样式 255 10 磅"/>
    <w:pPr>
      <w:widowControl w:val="0"/>
      <w:jc w:val="both"/>
    </w:pPr>
    <w:rPr>
      <w:rFonts w:ascii="Calibri" w:eastAsia="宋体" w:cs="Calibri" w:hAnsi="Calibri"/>
      <w:kern w:val="2"/>
      <w:sz w:val="21"/>
      <w:szCs w:val="21"/>
      <w:lang w:val="en-US" w:eastAsia="zh-CN" w:bidi="ar-SA"/>
    </w:rPr>
  </w:style>
  <w:style w:type="paragraph" w:customStyle="1" w:styleId="286">
    <w:name w:val="样式 256 10 磅"/>
    <w:pPr>
      <w:widowControl w:val="0"/>
      <w:jc w:val="both"/>
    </w:pPr>
    <w:rPr>
      <w:rFonts w:ascii="Calibri" w:eastAsia="宋体" w:cs="Calibri" w:hAnsi="Calibri"/>
      <w:kern w:val="2"/>
      <w:sz w:val="21"/>
      <w:szCs w:val="21"/>
      <w:lang w:val="en-US" w:eastAsia="zh-CN" w:bidi="ar-SA"/>
    </w:rPr>
  </w:style>
  <w:style w:type="paragraph" w:customStyle="1" w:styleId="287">
    <w:name w:val="样式 257 10 磅"/>
    <w:pPr>
      <w:widowControl w:val="0"/>
      <w:jc w:val="both"/>
    </w:pPr>
    <w:rPr>
      <w:rFonts w:ascii="Calibri" w:eastAsia="宋体" w:cs="Calibri" w:hAnsi="Calibri"/>
      <w:kern w:val="2"/>
      <w:sz w:val="21"/>
      <w:szCs w:val="21"/>
      <w:lang w:val="en-US" w:eastAsia="zh-CN" w:bidi="ar-SA"/>
    </w:rPr>
  </w:style>
  <w:style w:type="paragraph" w:customStyle="1" w:styleId="288">
    <w:name w:val="样式 258 10 磅"/>
    <w:pPr>
      <w:widowControl w:val="0"/>
      <w:jc w:val="both"/>
    </w:pPr>
    <w:rPr>
      <w:rFonts w:ascii="Calibri" w:eastAsia="宋体" w:cs="Calibri" w:hAnsi="Calibri"/>
      <w:kern w:val="2"/>
      <w:sz w:val="21"/>
      <w:szCs w:val="21"/>
      <w:lang w:val="en-US" w:eastAsia="zh-CN" w:bidi="ar-SA"/>
    </w:rPr>
  </w:style>
  <w:style w:type="paragraph" w:customStyle="1" w:styleId="289">
    <w:name w:val="样式 259 10 磅"/>
    <w:pPr>
      <w:widowControl w:val="0"/>
      <w:jc w:val="both"/>
    </w:pPr>
    <w:rPr>
      <w:rFonts w:ascii="Calibri" w:eastAsia="宋体" w:cs="Calibri" w:hAnsi="Calibri"/>
      <w:kern w:val="2"/>
      <w:sz w:val="21"/>
      <w:szCs w:val="21"/>
      <w:lang w:val="en-US" w:eastAsia="zh-CN" w:bidi="ar-SA"/>
    </w:rPr>
  </w:style>
  <w:style w:type="paragraph" w:customStyle="1" w:styleId="290">
    <w:name w:val="样式 260 10 磅"/>
    <w:pPr>
      <w:widowControl w:val="0"/>
      <w:jc w:val="both"/>
    </w:pPr>
    <w:rPr>
      <w:rFonts w:ascii="Calibri" w:eastAsia="宋体" w:cs="Calibri" w:hAnsi="Calibri"/>
      <w:kern w:val="2"/>
      <w:sz w:val="21"/>
      <w:szCs w:val="21"/>
      <w:lang w:val="en-US" w:eastAsia="zh-CN" w:bidi="ar-SA"/>
    </w:rPr>
  </w:style>
  <w:style w:type="paragraph" w:customStyle="1" w:styleId="291">
    <w:name w:val="样式 261 10 磅"/>
    <w:pPr>
      <w:widowControl w:val="0"/>
      <w:jc w:val="both"/>
    </w:pPr>
    <w:rPr>
      <w:rFonts w:ascii="Calibri" w:eastAsia="宋体" w:cs="Calibri" w:hAnsi="Calibri"/>
      <w:kern w:val="2"/>
      <w:sz w:val="21"/>
      <w:szCs w:val="21"/>
      <w:lang w:val="en-US" w:eastAsia="zh-CN" w:bidi="ar-SA"/>
    </w:rPr>
  </w:style>
  <w:style w:type="paragraph" w:customStyle="1" w:styleId="292">
    <w:name w:val="样式 262 10 磅"/>
    <w:pPr>
      <w:widowControl w:val="0"/>
      <w:jc w:val="both"/>
    </w:pPr>
    <w:rPr>
      <w:rFonts w:ascii="Calibri" w:eastAsia="宋体" w:cs="Calibri" w:hAnsi="Calibri"/>
      <w:kern w:val="2"/>
      <w:sz w:val="21"/>
      <w:szCs w:val="21"/>
      <w:lang w:val="en-US" w:eastAsia="zh-CN" w:bidi="ar-SA"/>
    </w:rPr>
  </w:style>
  <w:style w:type="paragraph" w:customStyle="1" w:styleId="293">
    <w:name w:val="样式 263 10 磅"/>
    <w:pPr>
      <w:widowControl w:val="0"/>
      <w:jc w:val="both"/>
    </w:pPr>
    <w:rPr>
      <w:rFonts w:ascii="Calibri" w:eastAsia="宋体" w:cs="Calibri" w:hAnsi="Calibri"/>
      <w:kern w:val="2"/>
      <w:sz w:val="21"/>
      <w:szCs w:val="21"/>
      <w:lang w:val="en-US" w:eastAsia="zh-CN" w:bidi="ar-SA"/>
    </w:rPr>
  </w:style>
  <w:style w:type="paragraph" w:customStyle="1" w:styleId="294">
    <w:name w:val="样式 264 10 磅"/>
    <w:pPr>
      <w:widowControl w:val="0"/>
      <w:jc w:val="both"/>
    </w:pPr>
    <w:rPr>
      <w:rFonts w:ascii="Calibri" w:eastAsia="宋体" w:cs="Calibri" w:hAnsi="Calibri"/>
      <w:kern w:val="2"/>
      <w:sz w:val="21"/>
      <w:szCs w:val="21"/>
      <w:lang w:val="en-US" w:eastAsia="zh-CN" w:bidi="ar-SA"/>
    </w:rPr>
  </w:style>
  <w:style w:type="paragraph" w:customStyle="1" w:styleId="295">
    <w:name w:val="样式 265 10 磅"/>
    <w:pPr>
      <w:widowControl w:val="0"/>
      <w:jc w:val="both"/>
    </w:pPr>
    <w:rPr>
      <w:rFonts w:ascii="Calibri" w:eastAsia="宋体" w:cs="Calibri" w:hAnsi="Calibri"/>
      <w:kern w:val="2"/>
      <w:sz w:val="21"/>
      <w:szCs w:val="21"/>
      <w:lang w:val="en-US" w:eastAsia="zh-CN" w:bidi="ar-SA"/>
    </w:rPr>
  </w:style>
  <w:style w:type="paragraph" w:customStyle="1" w:styleId="296">
    <w:name w:val="样式 266 10 磅"/>
    <w:pPr>
      <w:widowControl w:val="0"/>
      <w:jc w:val="both"/>
    </w:pPr>
    <w:rPr>
      <w:rFonts w:ascii="Calibri" w:eastAsia="宋体" w:cs="Calibri" w:hAnsi="Calibri"/>
      <w:kern w:val="2"/>
      <w:sz w:val="21"/>
      <w:szCs w:val="21"/>
      <w:lang w:val="en-US" w:eastAsia="zh-CN" w:bidi="ar-SA"/>
    </w:rPr>
  </w:style>
  <w:style w:type="paragraph" w:customStyle="1" w:styleId="297">
    <w:name w:val="样式 267 10 磅"/>
    <w:pPr>
      <w:widowControl w:val="0"/>
      <w:jc w:val="both"/>
    </w:pPr>
    <w:rPr>
      <w:rFonts w:ascii="Calibri" w:eastAsia="宋体" w:cs="Calibri" w:hAnsi="Calibri"/>
      <w:kern w:val="2"/>
      <w:sz w:val="21"/>
      <w:szCs w:val="21"/>
      <w:lang w:val="en-US" w:eastAsia="zh-CN" w:bidi="ar-SA"/>
    </w:rPr>
  </w:style>
  <w:style w:type="paragraph" w:customStyle="1" w:styleId="298">
    <w:name w:val="样式 268 10 磅"/>
    <w:pPr>
      <w:widowControl w:val="0"/>
      <w:jc w:val="both"/>
    </w:pPr>
    <w:rPr>
      <w:rFonts w:ascii="Calibri" w:eastAsia="宋体" w:cs="Calibri" w:hAnsi="Calibri"/>
      <w:kern w:val="2"/>
      <w:sz w:val="21"/>
      <w:szCs w:val="21"/>
      <w:lang w:val="en-US" w:eastAsia="zh-CN" w:bidi="ar-SA"/>
    </w:rPr>
  </w:style>
  <w:style w:type="paragraph" w:customStyle="1" w:styleId="299">
    <w:name w:val="样式 269 10 磅"/>
    <w:pPr>
      <w:widowControl w:val="0"/>
      <w:jc w:val="both"/>
    </w:pPr>
    <w:rPr>
      <w:rFonts w:ascii="Calibri" w:eastAsia="宋体" w:cs="Calibri" w:hAnsi="Calibri"/>
      <w:kern w:val="2"/>
      <w:sz w:val="21"/>
      <w:szCs w:val="21"/>
      <w:lang w:val="en-US" w:eastAsia="zh-CN" w:bidi="ar-SA"/>
    </w:rPr>
  </w:style>
  <w:style w:type="paragraph" w:customStyle="1" w:styleId="300">
    <w:name w:val="样式 270 10 磅"/>
    <w:pPr>
      <w:widowControl w:val="0"/>
      <w:jc w:val="both"/>
    </w:pPr>
    <w:rPr>
      <w:rFonts w:ascii="Calibri" w:eastAsia="宋体" w:cs="Calibri" w:hAnsi="Calibri"/>
      <w:kern w:val="2"/>
      <w:sz w:val="21"/>
      <w:szCs w:val="21"/>
      <w:lang w:val="en-US" w:eastAsia="zh-CN" w:bidi="ar-SA"/>
    </w:rPr>
  </w:style>
  <w:style w:type="paragraph" w:customStyle="1" w:styleId="301">
    <w:name w:val="样式 271 10 磅"/>
    <w:pPr>
      <w:widowControl w:val="0"/>
      <w:jc w:val="both"/>
    </w:pPr>
    <w:rPr>
      <w:rFonts w:ascii="Calibri" w:eastAsia="宋体" w:cs="Calibri" w:hAnsi="Calibri"/>
      <w:kern w:val="2"/>
      <w:sz w:val="21"/>
      <w:szCs w:val="21"/>
      <w:lang w:val="en-US" w:eastAsia="zh-CN" w:bidi="ar-SA"/>
    </w:rPr>
  </w:style>
  <w:style w:type="paragraph" w:customStyle="1" w:styleId="302">
    <w:name w:val="样式 272 10 磅"/>
    <w:pPr>
      <w:widowControl w:val="0"/>
      <w:jc w:val="both"/>
    </w:pPr>
    <w:rPr>
      <w:rFonts w:ascii="Calibri" w:eastAsia="宋体" w:cs="Calibri" w:hAnsi="Calibri"/>
      <w:kern w:val="2"/>
      <w:sz w:val="21"/>
      <w:szCs w:val="21"/>
      <w:lang w:val="en-US" w:eastAsia="zh-CN" w:bidi="ar-SA"/>
    </w:rPr>
  </w:style>
  <w:style w:type="paragraph" w:customStyle="1" w:styleId="303">
    <w:name w:val="样式 273 10 磅"/>
    <w:pPr>
      <w:widowControl w:val="0"/>
      <w:jc w:val="both"/>
    </w:pPr>
    <w:rPr>
      <w:rFonts w:ascii="Calibri" w:eastAsia="宋体" w:cs="Calibri" w:hAnsi="Calibri"/>
      <w:kern w:val="2"/>
      <w:sz w:val="21"/>
      <w:szCs w:val="21"/>
      <w:lang w:val="en-US" w:eastAsia="zh-CN" w:bidi="ar-SA"/>
    </w:rPr>
  </w:style>
  <w:style w:type="paragraph" w:customStyle="1" w:styleId="304">
    <w:name w:val="样式 274 10 磅"/>
    <w:pPr>
      <w:widowControl w:val="0"/>
      <w:jc w:val="both"/>
    </w:pPr>
    <w:rPr>
      <w:rFonts w:ascii="Calibri" w:eastAsia="宋体" w:cs="Calibri" w:hAnsi="Calibri"/>
      <w:kern w:val="2"/>
      <w:sz w:val="21"/>
      <w:szCs w:val="21"/>
      <w:lang w:val="en-US" w:eastAsia="zh-CN" w:bidi="ar-SA"/>
    </w:rPr>
  </w:style>
  <w:style w:type="paragraph" w:customStyle="1" w:styleId="305">
    <w:name w:val="样式 275 10 磅"/>
    <w:pPr>
      <w:widowControl w:val="0"/>
      <w:jc w:val="both"/>
    </w:pPr>
    <w:rPr>
      <w:rFonts w:ascii="Calibri" w:eastAsia="宋体" w:cs="Calibri" w:hAnsi="Calibri"/>
      <w:kern w:val="2"/>
      <w:sz w:val="21"/>
      <w:szCs w:val="21"/>
      <w:lang w:val="en-US" w:eastAsia="zh-CN" w:bidi="ar-SA"/>
    </w:rPr>
  </w:style>
  <w:style w:type="paragraph" w:customStyle="1" w:styleId="306">
    <w:name w:val="样式 276 10 磅"/>
    <w:pPr>
      <w:widowControl w:val="0"/>
      <w:jc w:val="both"/>
    </w:pPr>
    <w:rPr>
      <w:rFonts w:ascii="Calibri" w:eastAsia="宋体" w:cs="Calibri" w:hAnsi="Calibri"/>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1538</TotalTime>
  <Application>Yozo_Office</Application>
  <Pages>12</Pages>
  <Words>12387</Words>
  <Characters>13934</Characters>
  <Lines>368</Lines>
  <Paragraphs>168</Paragraphs>
  <CharactersWithSpaces>14081</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title>武汉海关关于发布境外技术性贸易措施风险信息的提示</dc:title>
  <dc:creator>曾繁</dc:creator>
  <cp:lastModifiedBy>汪绍文</cp:lastModifiedBy>
  <cp:revision>5</cp:revision>
  <dcterms:created xsi:type="dcterms:W3CDTF">2024-01-26T03:30:00Z</dcterms:created>
  <dcterms:modified xsi:type="dcterms:W3CDTF">2026-04-23T09:03:49Z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CF9849E3307943108F88771BECF146AD</vt:lpwstr>
  </property>
</Properties>
</file>