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autoSpaceDN w:val="0"/>
        <w:adjustRightInd w:val="0"/>
        <w:snapToGrid w:val="0"/>
        <w:spacing w:line="560" w:lineRule="exact"/>
        <w:ind w:firstLine="420"/>
        <w:jc w:val="center"/>
        <w:rPr>
          <w:rFonts w:ascii="方正小标宋_GBK" w:eastAsia="方正小标宋_GBK" w:cs="Times New Roman"/>
          <w:sz w:val="44"/>
          <w:szCs w:val="44"/>
        </w:rPr>
      </w:pPr>
      <w:bookmarkStart w:id="0" w:name="_GoBack"/>
      <w:bookmarkEnd w:id="0"/>
      <w:r>
        <w:rPr>
          <w:rFonts w:ascii="方正小标宋_GBK" w:eastAsia="方正小标宋_GBK" w:cs="方正小标宋_GBK" w:hint="eastAsia"/>
          <w:sz w:val="44"/>
          <w:szCs w:val="44"/>
        </w:rPr>
        <w:t>武汉海关关于发布境外技术性贸易措施风险信息的提示</w:t>
      </w:r>
    </w:p>
    <w:p>
      <w:pPr>
        <w:autoSpaceDN w:val="0"/>
        <w:adjustRightInd w:val="0"/>
        <w:snapToGrid w:val="0"/>
        <w:spacing w:line="560" w:lineRule="exact"/>
        <w:jc w:val="center"/>
        <w:rPr>
          <w:rFonts w:ascii="方正楷体_GBK" w:eastAsia="方正楷体_GBK" w:cs="Times New Roman"/>
          <w:sz w:val="32"/>
          <w:szCs w:val="32"/>
        </w:rPr>
      </w:pPr>
      <w:r>
        <w:rPr>
          <w:rFonts w:ascii="方正楷体_GBK" w:eastAsia="方正楷体_GBK" w:cs="方正楷体_GBK" w:hint="eastAsia"/>
          <w:sz w:val="32"/>
          <w:szCs w:val="32"/>
        </w:rPr>
        <w:t>（</w:t>
      </w:r>
      <w:r>
        <w:rPr>
          <w:rFonts w:ascii="方正楷体_GBK" w:eastAsia="方正楷体_GBK" w:cs="方正楷体_GBK"/>
          <w:sz w:val="32"/>
          <w:szCs w:val="32"/>
        </w:rPr>
        <w:t>202606</w:t>
      </w:r>
      <w:r>
        <w:rPr>
          <w:rFonts w:ascii="方正楷体_GBK" w:eastAsia="方正楷体_GBK" w:cs="方正楷体_GBK" w:hint="eastAsia"/>
          <w:sz w:val="32"/>
          <w:szCs w:val="32"/>
        </w:rPr>
        <w:t>期总第</w:t>
      </w:r>
      <w:r>
        <w:rPr>
          <w:rFonts w:ascii="方正楷体_GBK" w:eastAsia="方正楷体_GBK" w:cs="方正楷体_GBK"/>
          <w:sz w:val="32"/>
          <w:szCs w:val="32"/>
        </w:rPr>
        <w:t>73</w:t>
      </w:r>
      <w:r>
        <w:rPr>
          <w:rFonts w:ascii="方正楷体_GBK" w:eastAsia="方正楷体_GBK" w:cs="方正楷体_GBK" w:hint="eastAsia"/>
          <w:sz w:val="32"/>
          <w:szCs w:val="32"/>
        </w:rPr>
        <w:t>期）</w:t>
      </w:r>
    </w:p>
    <w:p>
      <w:pPr>
        <w:autoSpaceDN w:val="0"/>
        <w:adjustRightInd w:val="0"/>
        <w:snapToGrid w:val="0"/>
        <w:spacing w:line="560" w:lineRule="exact"/>
        <w:ind w:firstLineChars="200" w:firstLine="640"/>
        <w:rPr>
          <w:rFonts w:ascii="方正仿宋_GBK" w:eastAsia="方正仿宋_GBK" w:cs="Times New Roman"/>
          <w:sz w:val="32"/>
          <w:szCs w:val="32"/>
        </w:rPr>
      </w:pPr>
      <w:r>
        <w:rPr>
          <w:rFonts w:ascii="方正仿宋_GBK" w:eastAsia="方正仿宋_GBK" w:cs="方正仿宋_GBK" w:hint="eastAsia"/>
          <w:sz w:val="32"/>
          <w:szCs w:val="32"/>
        </w:rPr>
        <w:t>当前我国面临复杂严峻的外贸形势，国外技术性贸易措施依然是影响我国企业出口的重要因素之一。为进一步降低技术性贸易措施对湖北出口企业可能造成的影响，推动湖北产品更好“走出去”，提高贸易便利化水平，助力企业开拓海外市场，武汉海关收集整理了近期部分境外技术性贸易措施，供外贸企业参考。现将收集的相关信息公布提示如下：</w:t>
      </w:r>
    </w:p>
    <w:tbl>
      <w:tblPr>
        <w:jc w:val="left"/>
        <w:tblW w:w="141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108" w:type="dxa"/>
          <w:bottom w:w="0" w:type="dxa"/>
          <w:right w:w="108" w:type="dxa"/>
        </w:tblCellMar>
      </w:tblPr>
      <w:tblGrid>
        <w:gridCol w:w="1382"/>
        <w:gridCol w:w="596"/>
        <w:gridCol w:w="12193"/>
      </w:tblGrid>
      <w:tr>
        <w:trPr>
          <w:trHeight w:val="593"/>
        </w:trPr>
        <w:tc>
          <w:tcPr>
            <w:tcW w:w="1382" w:type="dxa"/>
          </w:tcPr>
          <w:p>
            <w:pPr>
              <w:autoSpaceDN w:val="0"/>
              <w:jc w:val="center"/>
              <w:rPr>
                <w:rFonts w:ascii="Times New Roman" w:cs="Times New Roman" w:hAnsi="Times New Roman"/>
                <w:b/>
                <w:bCs/>
              </w:rPr>
            </w:pPr>
            <w:r>
              <w:rPr>
                <w:rFonts w:ascii="Times New Roman" w:cs="Times New Roman" w:hAnsi="Times New Roman"/>
                <w:b/>
                <w:bCs/>
              </w:rPr>
              <w:t>国家</w:t>
            </w:r>
          </w:p>
          <w:p>
            <w:pPr>
              <w:autoSpaceDN w:val="0"/>
              <w:jc w:val="center"/>
              <w:rPr>
                <w:rFonts w:ascii="Times New Roman" w:cs="Times New Roman" w:hAnsi="Times New Roman"/>
                <w:b/>
                <w:bCs/>
              </w:rPr>
            </w:pPr>
            <w:r>
              <w:rPr>
                <w:rFonts w:ascii="Times New Roman" w:cs="Times New Roman" w:hAnsi="Times New Roman"/>
                <w:b/>
                <w:bCs/>
              </w:rPr>
              <w:t>（地区组织）</w:t>
            </w:r>
          </w:p>
        </w:tc>
        <w:tc>
          <w:tcPr>
            <w:tcW w:w="596" w:type="dxa"/>
            <w:vAlign w:val="center"/>
          </w:tcPr>
          <w:p>
            <w:pPr>
              <w:autoSpaceDN w:val="0"/>
              <w:jc w:val="center"/>
              <w:rPr>
                <w:rFonts w:ascii="Times New Roman" w:cs="Times New Roman" w:hAnsi="Times New Roman"/>
              </w:rPr>
            </w:pPr>
            <w:r>
              <w:rPr>
                <w:rFonts w:ascii="Times New Roman" w:cs="Times New Roman" w:hAnsi="Times New Roman"/>
                <w:b/>
                <w:bCs/>
              </w:rPr>
              <w:t>序号</w:t>
            </w:r>
          </w:p>
        </w:tc>
        <w:tc>
          <w:tcPr>
            <w:tcW w:w="12193" w:type="dxa"/>
          </w:tcPr>
          <w:p>
            <w:pPr>
              <w:autoSpaceDN w:val="0"/>
              <w:jc w:val="center"/>
              <w:rPr>
                <w:rFonts w:ascii="Times New Roman" w:cs="Times New Roman" w:hAnsi="Times New Roman"/>
              </w:rPr>
            </w:pPr>
            <w:r>
              <w:rPr>
                <w:rFonts w:ascii="Times New Roman" w:cs="Times New Roman" w:hAnsi="Times New Roman"/>
                <w:b/>
                <w:bCs/>
                <w:sz w:val="28"/>
                <w:szCs w:val="28"/>
              </w:rPr>
              <w:t>提示信息</w:t>
            </w:r>
          </w:p>
        </w:tc>
      </w:tr>
      <w:tr>
        <w:trPr>
          <w:trHeight w:val="1698"/>
        </w:trPr>
        <w:tc>
          <w:tcPr>
            <w:tcW w:w="1382" w:type="dxa"/>
            <w:vMerge w:val="restart"/>
            <w:vAlign w:val="center"/>
          </w:tcPr>
          <w:p>
            <w:pPr>
              <w:pStyle w:val="239"/>
              <w:widowControl/>
              <w:jc w:val="center"/>
              <w:textAlignment w:val="center"/>
              <w:rPr>
                <w:rFonts w:ascii="Times New Roman" w:cs="Times New Roman" w:hAnsi="Times New Roman"/>
                <w:color w:val="000000"/>
                <w:sz w:val="24"/>
                <w:szCs w:val="24"/>
              </w:rPr>
            </w:pPr>
            <w:r>
              <w:rPr>
                <w:rFonts w:ascii="Times New Roman" w:cs="Times New Roman" w:hAnsi="Times New Roman"/>
                <w:color w:val="000000"/>
                <w:sz w:val="24"/>
                <w:szCs w:val="24"/>
              </w:rPr>
              <w:t>美国</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w:t>
            </w:r>
          </w:p>
        </w:tc>
        <w:tc>
          <w:tcPr>
            <w:tcW w:w="12193" w:type="dxa"/>
            <w:vAlign w:val="center"/>
          </w:tcPr>
          <w:p>
            <w:pPr>
              <w:jc w:val="left"/>
              <w:rPr>
                <w:rFonts w:ascii="宋体" w:cs="宋体" w:hint="eastAsia"/>
                <w:sz w:val="22"/>
              </w:rPr>
            </w:pPr>
            <w:r>
              <w:rPr>
                <w:rFonts w:ascii="宋体" w:cs="宋体"/>
                <w:sz w:val="22"/>
              </w:rPr>
              <w:t>取消对装有“稳定支架”的火器的分类计分标准。美国烟酒枪炮及爆炸物管理局（简称“ATF”）提议修订司法部（简称“司法部”）关于装有稳定支架的火器的法规。多家法院认定，ATF就同一主题发布的2023年最终规则（通报号为G/TBT/N/USA/1739/Add.1）中的修订内容违反了《行政程序法》。已有数家法院对该最终规则发出了禁令、暂停执行或予以撤销，该规则实际生效的时间极少。因此，ATF提议从“步枪”的监管定义中删除2023年最终规则所增加的两段内容，这两段定义了“设计或重新设计、制造或重新制造并打算从肩部发射”这一术语。</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w:t>
            </w:r>
          </w:p>
        </w:tc>
        <w:tc>
          <w:tcPr>
            <w:tcW w:w="12193" w:type="dxa"/>
            <w:vAlign w:val="center"/>
          </w:tcPr>
          <w:p>
            <w:pPr>
              <w:pStyle w:val="197"/>
              <w:jc w:val="left"/>
              <w:rPr>
                <w:rFonts w:ascii="宋体" w:cs="宋体" w:hint="eastAsia"/>
                <w:sz w:val="22"/>
              </w:rPr>
            </w:pPr>
            <w:r>
              <w:rPr>
                <w:rFonts w:ascii="宋体" w:cs="宋体"/>
                <w:sz w:val="22"/>
              </w:rPr>
              <w:t>美国油桃等级标准。美国农业部农业营销服务局（AMS）提议修订美国油桃等级标准。AMS建议在对油桃进行分级时去除“斑点”这一缺陷，因为斑点严格来说是一个外观问题，不会影响受影响油桃的内部质量、保质期或导致任何负面风味。事实上，含糖量或甜度较高的油桃与斑点量增加有关。这些变化将使等级标准与当今市场上的质量水平保持一致，并为该商品的有效利用提供指导。</w:t>
            </w:r>
          </w:p>
        </w:tc>
      </w:tr>
      <w:tr>
        <w:trPr>
          <w:trHeight w:val="95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3</w:t>
            </w:r>
          </w:p>
        </w:tc>
        <w:tc>
          <w:tcPr>
            <w:tcW w:w="12193" w:type="dxa"/>
            <w:vAlign w:val="center"/>
          </w:tcPr>
          <w:p>
            <w:pPr>
              <w:pStyle w:val="198"/>
              <w:jc w:val="left"/>
              <w:rPr>
                <w:rFonts w:ascii="宋体" w:cs="宋体" w:hint="eastAsia"/>
                <w:sz w:val="22"/>
              </w:rPr>
            </w:pPr>
            <w:r>
              <w:rPr>
                <w:rFonts w:ascii="宋体" w:cs="宋体"/>
                <w:sz w:val="22"/>
              </w:rPr>
              <w:t>要求提供关于伪造认证标志的信息。美国消费品安全委员会就以下事项征求公众意见：假冒认证标志（特别是CPSC标志）的错误标注或未经授权使用所带来的普遍性及安全风险、消费者对这些标志作为安全标识的依赖程度，以及对相关利益方造成的财务影响。</w:t>
            </w:r>
          </w:p>
        </w:tc>
      </w:tr>
      <w:tr>
        <w:trPr>
          <w:trHeight w:val="66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4</w:t>
            </w:r>
          </w:p>
        </w:tc>
        <w:tc>
          <w:tcPr>
            <w:tcW w:w="12193" w:type="dxa"/>
            <w:vAlign w:val="center"/>
          </w:tcPr>
          <w:p>
            <w:pPr>
              <w:pStyle w:val="199"/>
              <w:jc w:val="left"/>
              <w:rPr>
                <w:rFonts w:ascii="宋体" w:cs="宋体" w:hint="eastAsia"/>
                <w:sz w:val="22"/>
              </w:rPr>
            </w:pPr>
            <w:r>
              <w:rPr>
                <w:rFonts w:ascii="宋体" w:cs="宋体"/>
                <w:sz w:val="22"/>
              </w:rPr>
              <w:t>进口训练弹。美国烟酒枪炮及爆炸物管理局提议修订司法部的法规，以明确某些训练弹不符合《枪支管制法》所定义的“弹药”定义，且不受《武器出口管制法》的管制。低于致命性弹药与训练弹不同，通常仍将被视为弹药。</w:t>
            </w:r>
          </w:p>
        </w:tc>
      </w:tr>
      <w:tr>
        <w:trPr>
          <w:trHeight w:val="1386"/>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5</w:t>
            </w:r>
          </w:p>
        </w:tc>
        <w:tc>
          <w:tcPr>
            <w:tcW w:w="12193" w:type="dxa"/>
            <w:vAlign w:val="center"/>
          </w:tcPr>
          <w:p>
            <w:pPr>
              <w:pStyle w:val="200"/>
              <w:jc w:val="left"/>
              <w:rPr>
                <w:rFonts w:ascii="宋体" w:cs="宋体" w:hint="eastAsia"/>
                <w:sz w:val="22"/>
              </w:rPr>
            </w:pPr>
            <w:r>
              <w:rPr>
                <w:rFonts w:ascii="宋体" w:cs="宋体"/>
                <w:sz w:val="22"/>
              </w:rPr>
              <w:t>进口两用枪身、枪座或枪管。美国烟酒枪炮及爆炸物管理局提议修订司法部法规，以明确：联邦枪械许可证（FFL）持有者可以合法进口可能同时用于运动型和非运动型枪械的枪身、枪座或枪管（即“两用枪身、枪座或枪管”），前提是在进口时，该枪身、枪座或枪管已有明确的枪械运动型配置。此外，一旦该两用枪身、枪座或枪管进入美国境内，可用于组装运动型、非运动型或《国家枪械法》规定的枪械，但组装此类枪械必须符合其他联邦枪械法律的要求。</w:t>
            </w:r>
          </w:p>
        </w:tc>
      </w:tr>
      <w:tr>
        <w:trPr>
          <w:trHeight w:val="1861"/>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6</w:t>
            </w:r>
          </w:p>
        </w:tc>
        <w:tc>
          <w:tcPr>
            <w:tcW w:w="12193" w:type="dxa"/>
            <w:vAlign w:val="center"/>
          </w:tcPr>
          <w:p>
            <w:pPr>
              <w:pStyle w:val="201"/>
              <w:jc w:val="left"/>
              <w:rPr>
                <w:rFonts w:ascii="宋体" w:cs="宋体"/>
                <w:sz w:val="22"/>
              </w:rPr>
            </w:pPr>
            <w:r>
              <w:rPr>
                <w:rFonts w:ascii="宋体" w:cs="宋体"/>
                <w:sz w:val="22"/>
              </w:rPr>
              <w:t>将国防物品的临时进口转为永久进口。美国烟酒枪炮及爆炸物管理局（ATF）提议修订司法部关于《武器出口管制法》（AECA）长期进口条款的法规。该拟议规则将允许进口商申请ATF授权，将在以下情况下临时进口的物品转换为长期进口品：依据国务院（DOS）的授权，或依据商务部（DOC）维持的《出口管理条例》（EAR）中关于临时进口的入境通关要求。转换时需符合其他适用的联邦枪支法律，无需先将物品出口再重新进口。与此相关，ATF还提议修订法规，要求从临时进口转换为长期进口的枪支，在转换获批后15天内按照《枪支管制法》（GCA）和《国家枪支法》（NFA）的标准进行标记。此外，进口商需在此时间框架内提交6A表格，以记录序列号并最终确定长期进口状态。</w:t>
            </w:r>
          </w:p>
        </w:tc>
      </w:tr>
      <w:tr>
        <w:trPr>
          <w:trHeight w:val="916"/>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7</w:t>
            </w:r>
          </w:p>
        </w:tc>
        <w:tc>
          <w:tcPr>
            <w:tcW w:w="12193" w:type="dxa"/>
            <w:vAlign w:val="center"/>
          </w:tcPr>
          <w:p>
            <w:pPr>
              <w:jc w:val="left"/>
              <w:rPr>
                <w:rFonts w:ascii="宋体" w:cs="宋体"/>
                <w:sz w:val="22"/>
              </w:rPr>
            </w:pPr>
            <w:r>
              <w:rPr>
                <w:rFonts w:ascii="宋体" w:cs="宋体"/>
                <w:sz w:val="22"/>
              </w:rPr>
              <w:t>促进电信认证机构、测量设施及设备授权计划的诚信与安全。联邦通信委员会发布第二份进一步拟议规则制定通知，提议停止承认位于非互认协议或贸易协定参与方（即非互认地区）的测试实验室、测试认证机构及实验室认可机构。此外，委员会还就提升数据分析能力现代化征求意见，并探讨保护知识产权和国家安全的额外措施。</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可访问的紧急信息，以及紧急信息和视频描述的设备要求：2010年21世纪通信和视频可访问性法案的实施。在本文件中，联邦通信委员会提议修订Audible Crawl规则，该规则要求视频节目提供商和发行商使非新闻广播节目期间提供的非文本视觉紧急信息可通过辅助音频流访问。修订后的规则将规定，如果文本抓取提供与非文本视觉紧急信息重复或等效的紧急信息，只要文本抓取也是通过听觉传达的，则满足可访问性要求。</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9</w:t>
            </w:r>
          </w:p>
        </w:tc>
        <w:tc>
          <w:tcPr>
            <w:tcW w:w="12193" w:type="dxa"/>
            <w:vAlign w:val="center"/>
          </w:tcPr>
          <w:p>
            <w:pPr>
              <w:pStyle w:val="204"/>
              <w:jc w:val="left"/>
              <w:rPr>
                <w:rFonts w:ascii="宋体" w:cs="宋体"/>
                <w:sz w:val="22"/>
              </w:rPr>
            </w:pPr>
            <w:r>
              <w:rPr>
                <w:rFonts w:ascii="宋体" w:cs="宋体"/>
                <w:sz w:val="22"/>
              </w:rPr>
              <w:t>加州拟议的替换轮胎能效计划。加州能源委员会提议在《加州法规汇编》第20篇第14章第1条（第3301节至第3310节）中通过《替换轮胎能效计划规则制定》，以根据《公共资源法典》第25770、25771、25772和25773条实施替换轮胎能效计划。加州能源委员会提议制定新法规，以提高乘用车和轻型卡车替换轮胎的能效。拟议法规为在加州销售的替换轮胎设定了能效和湿滑抓地力的最低性能标准。该法规还将规定轮胎制造商和品牌所有者的报告要求，只有列入加州能源委员会数据库的轮胎才能在加州合法销售。拟议的正式条款包括加州能源委员会工作人员在规则制定前的利益相关方参与期间收到的有关拟议法规的意见、反对意见和建议的考量。</w:t>
            </w:r>
          </w:p>
        </w:tc>
      </w:tr>
      <w:tr>
        <w:trPr>
          <w:trHeight w:val="1237"/>
        </w:trPr>
        <w:tc>
          <w:tcPr>
            <w:tcW w:w="1383"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10</w:t>
            </w:r>
          </w:p>
        </w:tc>
        <w:tc>
          <w:tcPr>
            <w:tcW w:w="12193" w:type="dxa"/>
            <w:vAlign w:val="center"/>
          </w:tcPr>
          <w:p>
            <w:pPr>
              <w:pStyle w:val="205"/>
              <w:jc w:val="left"/>
              <w:rPr>
                <w:rFonts w:ascii="宋体" w:cs="宋体" w:hint="eastAsia"/>
                <w:sz w:val="22"/>
              </w:rPr>
            </w:pPr>
            <w:r>
              <w:rPr>
                <w:rFonts w:ascii="宋体" w:cs="宋体"/>
                <w:sz w:val="22"/>
              </w:rPr>
              <w:t>修订《升降机安全令》。加州职业安全与健康标准委员会旨在降低电梯工人工伤的可能性，并降低公众的风险。此次修订通过确保电梯工人和检查员能够轻松安全地接触到运输装置的关键部件，从而提高了工作场所的安全性。易于安全使用的设备更有可能得到充分维护，这有利于建筑物所有者和管理者以及骑行公众。这一规则制定行动还包括非实质性修订，如编辑、语法和重新格式化更改。已经安排了一次公开听证会，届时任何相关方都可以就这一拟议的监管行动提交口头或书面陈述。</w:t>
            </w:r>
          </w:p>
        </w:tc>
      </w:tr>
      <w:tr>
        <w:trPr>
          <w:trHeight w:val="1861"/>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11</w:t>
            </w:r>
          </w:p>
        </w:tc>
        <w:tc>
          <w:tcPr>
            <w:tcW w:w="12193" w:type="dxa"/>
            <w:vAlign w:val="center"/>
          </w:tcPr>
          <w:p>
            <w:pPr>
              <w:jc w:val="left"/>
              <w:rPr>
                <w:rFonts w:ascii="宋体" w:cs="宋体" w:hint="eastAsia"/>
                <w:sz w:val="22"/>
              </w:rPr>
            </w:pPr>
            <w:r>
              <w:rPr>
                <w:rFonts w:ascii="宋体" w:cs="宋体"/>
                <w:sz w:val="22"/>
              </w:rPr>
              <w:t>《Tier 4标准污染物排放标准修订，第1部分：轻型与中型汽车分阶段实施时间表的修正案》。美国环境保护署（EPA）正在重新考虑在名为《2027年及以后车型年轻型与中型汽车多污染物排放标准》的最终规则中颁布的新机动车辆Tier 4标准污染物排放标准。本次重新审议将通过两项独立但相互协调的规则制定活动进行。在这项第一部分规则制定中，EPA提议修订部分车辆的Tier 4标准污染物排放标准的分阶段实施时间表，以应对变化的情况和可行性方面的关切。这些修正案如果最终确定，将把部分车辆的Tier 3标准延长至2027和2028车型年，从而使这些车辆的Tier 4标准从2029车型年开始分阶段实施。EPA还提议对用于认证排放性能评估的测试协议以及其他相关监管问题进行其他修改。</w:t>
            </w:r>
          </w:p>
        </w:tc>
      </w:tr>
      <w:tr>
        <w:trPr>
          <w:trHeight w:val="946"/>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12</w:t>
            </w:r>
          </w:p>
        </w:tc>
        <w:tc>
          <w:tcPr>
            <w:tcW w:w="12193" w:type="dxa"/>
            <w:vAlign w:val="center"/>
          </w:tcPr>
          <w:p>
            <w:pPr>
              <w:jc w:val="left"/>
              <w:rPr>
                <w:rFonts w:ascii="宋体" w:cs="宋体"/>
                <w:sz w:val="22"/>
              </w:rPr>
            </w:pPr>
            <w:r>
              <w:rPr>
                <w:rFonts w:ascii="宋体" w:cs="宋体"/>
                <w:sz w:val="22"/>
              </w:rPr>
              <w:t>使NRC副产品材料使用法规现代化。美国核管理委员会（NRC）提议修订其副产品材料、一些源材料和一些特殊核材料的许可条例。NRC修订这些法规的目标是使许可材料的安全、有效和高效使用现代化。这一行动将减轻NRC许可程序的负担，消除对现有法规的某些豁免的需要，并消除不必要的要求。NRC正在寻求就该拟议规则和临时指南草案举行公开评议。</w:t>
            </w:r>
          </w:p>
        </w:tc>
      </w:tr>
      <w:tr>
        <w:trPr>
          <w:trHeight w:val="1237"/>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13</w:t>
            </w:r>
          </w:p>
        </w:tc>
        <w:tc>
          <w:tcPr>
            <w:tcW w:w="12193" w:type="dxa"/>
            <w:vAlign w:val="center"/>
          </w:tcPr>
          <w:p>
            <w:pPr>
              <w:jc w:val="left"/>
              <w:rPr>
                <w:rFonts w:ascii="宋体" w:cs="宋体"/>
                <w:sz w:val="22"/>
              </w:rPr>
            </w:pPr>
            <w:r>
              <w:rPr>
                <w:rFonts w:ascii="宋体" w:cs="宋体"/>
                <w:sz w:val="22"/>
              </w:rPr>
              <w:t>农药处理的种子。农药监管部提议采用第6626.5节，并修订《加州法规》（3 CCR）第3篇第6000、6147、6691和6760节。受该提案影响的农药监管计划活动是那些与加州农药处理种子的处理以及其使用的报告和执行有关的活动。总之，拟议的管制行动将增加经农药处理的种子的定义；当经过杀虫剂处理的种子满足加州特有的某些条件时，免除它们的注册；要求报告在加州种植的经过杀虫剂处理的种子；并在满足某些条件时，对种植经过农药处理的种子提供监管要求的豁免。</w:t>
            </w:r>
          </w:p>
        </w:tc>
      </w:tr>
      <w:tr>
        <w:trPr>
          <w:trHeight w:val="92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14</w:t>
            </w:r>
          </w:p>
        </w:tc>
        <w:tc>
          <w:tcPr>
            <w:tcW w:w="12193" w:type="dxa"/>
            <w:vAlign w:val="center"/>
          </w:tcPr>
          <w:p>
            <w:pPr>
              <w:pStyle w:val="103"/>
              <w:jc w:val="left"/>
              <w:rPr>
                <w:rFonts w:ascii="宋体" w:cs="宋体"/>
                <w:sz w:val="22"/>
              </w:rPr>
            </w:pPr>
            <w:r>
              <w:rPr>
                <w:rFonts w:ascii="宋体" w:cs="宋体"/>
                <w:sz w:val="22"/>
              </w:rPr>
              <w:t>航天局就GSO参考链接寻求评议。在本文件中，联邦通信委员会内的航天局就卫星宽带频谱共享现代化报告和命令中采用的一组地球静止卫星网络参考链路的潜在修订寻求评议。确保GSO参考链路适当反映美国典型和广泛的GSO卫星运行将促进当今宽带卫星系统之间的高效频谱共享。</w:t>
            </w:r>
          </w:p>
        </w:tc>
      </w:tr>
      <w:tr>
        <w:trPr>
          <w:trHeight w:val="925"/>
        </w:trPr>
        <w:tc>
          <w:tcPr>
            <w:tcW w:w="1382" w:type="dxa"/>
            <w:vMerge/>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15</w:t>
            </w:r>
          </w:p>
        </w:tc>
        <w:tc>
          <w:tcPr>
            <w:tcW w:w="12193" w:type="dxa"/>
            <w:vAlign w:val="center"/>
          </w:tcPr>
          <w:p>
            <w:pPr>
              <w:jc w:val="left"/>
              <w:rPr>
                <w:rFonts w:ascii="宋体" w:cs="宋体" w:hint="eastAsia"/>
                <w:sz w:val="22"/>
              </w:rPr>
            </w:pPr>
            <w:r>
              <w:rPr>
                <w:rFonts w:ascii="宋体" w:cs="宋体"/>
                <w:sz w:val="22"/>
              </w:rPr>
              <w:t>泡沫灭火系统。海岸警卫队必须批准船用泡沫灭火系统。目前，八个指导文件规定了现有的型式批准标准。海岸警卫队提议更新和编纂型式认证标准，以反映当前的行业实践。标准更新将反映技术进步，减少某些测试和设计要求，并减轻行业和政府的行政负担。这种放松管制的措施将为行业和政府节省成本。</w:t>
            </w:r>
          </w:p>
        </w:tc>
      </w:tr>
      <w:tr>
        <w:trPr>
          <w:trHeight w:val="1237"/>
        </w:trPr>
        <w:tc>
          <w:tcPr>
            <w:tcW w:w="1382" w:type="dxa"/>
            <w:vMerge w:val="restart"/>
            <w:tcBorders>
              <w:tl2br w:val="nil"/>
              <w:tr2bl w:val="nil"/>
            </w:tcBorders>
            <w:vAlign w:val="center"/>
          </w:tcPr>
          <w:p>
            <w:pPr>
              <w:pStyle w:val="241"/>
              <w:jc w:val="center"/>
            </w:pPr>
            <w:r>
              <w:t>埃及</w:t>
            </w: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16</w:t>
            </w:r>
          </w:p>
        </w:tc>
        <w:tc>
          <w:tcPr>
            <w:tcW w:w="12193" w:type="dxa"/>
            <w:vAlign w:val="center"/>
          </w:tcPr>
          <w:p>
            <w:pPr>
              <w:jc w:val="left"/>
              <w:rPr>
                <w:rFonts w:ascii="宋体" w:cs="宋体" w:hint="eastAsia"/>
                <w:sz w:val="22"/>
              </w:rPr>
            </w:pPr>
            <w:r>
              <w:rPr>
                <w:rFonts w:ascii="宋体" w:cs="宋体"/>
                <w:sz w:val="22"/>
              </w:rPr>
              <w:t>埃及“固定训练设备第6部分：跑步机，附加特定安全要求和试验方法”标准草案。该标准草案除规定了一般的安全要求和试验方法外，还规定了跑步机的安全要求和试验方法。本标准草案涉及与按预期使用并在制造商可预见的误用条件下使用的固定式训练设备相关的重大危害、危险情况和事件（见第4条）。适用于S、H、I级和A、B、C级精度的动力驱动和非动力/手动驱动的训练设备类型跑步机（以下简称跑步机）。</w:t>
            </w:r>
          </w:p>
        </w:tc>
      </w:tr>
      <w:tr>
        <w:trPr>
          <w:trHeight w:val="104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17</w:t>
            </w:r>
          </w:p>
        </w:tc>
        <w:tc>
          <w:tcPr>
            <w:tcW w:w="12193" w:type="dxa"/>
            <w:vAlign w:val="center"/>
          </w:tcPr>
          <w:p>
            <w:pPr>
              <w:jc w:val="left"/>
              <w:rPr>
                <w:rFonts w:ascii="宋体" w:cs="宋体" w:hint="eastAsia"/>
                <w:sz w:val="22"/>
              </w:rPr>
            </w:pPr>
            <w:r>
              <w:rPr>
                <w:rFonts w:ascii="宋体" w:cs="宋体"/>
                <w:sz w:val="22"/>
              </w:rPr>
              <w:t>埃及“固定式训练设备第2部分：力量训练设备附加特定安全要求和试验方法”标准草案。除了一般安全要求之外，埃及标准草案还规定了固定式力量训练设备的安全要求。本标准适用于H级、S级和I级具有堆叠重量阻力或替代阻力方式的固定式力量训练设备，如弹性绳、液压、气动、电动、磁力、弹簧和外部加载重量（以下简称固定式训练设备）。</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18</w:t>
            </w:r>
          </w:p>
        </w:tc>
        <w:tc>
          <w:tcPr>
            <w:tcW w:w="12193" w:type="dxa"/>
            <w:vAlign w:val="center"/>
          </w:tcPr>
          <w:p>
            <w:pPr>
              <w:jc w:val="left"/>
              <w:rPr>
                <w:rFonts w:ascii="宋体" w:cs="宋体" w:hint="eastAsia"/>
                <w:sz w:val="22"/>
              </w:rPr>
            </w:pPr>
            <w:r>
              <w:rPr>
                <w:rFonts w:ascii="宋体" w:cs="宋体"/>
                <w:sz w:val="22"/>
              </w:rPr>
              <w:t>固定式训练设备第1部分：一般安全要求和试验方法”埃及标准草案。该标准草案规定了室内固定训练设备的一般安全要求和测试方法。它还包括环境方面。本标准适用于所有固定式训练设备。这包括用于体育协会、教育机构、酒店、体育馆、俱乐部、康复中心和工作室（S级和I级）等组织的训练区域的设备，其访问和控制由所有者（负有法律责任的人）具体规定）、家用设备（H级）和其他类型的设备，包括电机驱动设备。</w:t>
            </w:r>
          </w:p>
        </w:tc>
      </w:tr>
      <w:tr>
        <w:trPr>
          <w:trHeight w:val="1237"/>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19</w:t>
            </w:r>
          </w:p>
        </w:tc>
        <w:tc>
          <w:tcPr>
            <w:tcW w:w="12193" w:type="dxa"/>
            <w:vAlign w:val="center"/>
          </w:tcPr>
          <w:p>
            <w:pPr>
              <w:jc w:val="left"/>
              <w:rPr>
                <w:rFonts w:ascii="宋体" w:cs="宋体" w:hint="eastAsia"/>
                <w:sz w:val="22"/>
              </w:rPr>
            </w:pPr>
            <w:r>
              <w:rPr>
                <w:rFonts w:ascii="宋体" w:cs="宋体"/>
                <w:sz w:val="22"/>
              </w:rPr>
              <w:t>埃及标准草案《小型船艇船体构造与构件尺寸第5部分：单体船设计压力、设计应力及构件尺寸确定》。该标准草案规定了艇体长度（LH）或载重线长度（见注1）不超过24米的单体小型船艇在确定构件尺寸时所使用的尺寸、局部设计压力、机械性能及设计应力。在根据ISO 12217标准评估稳性、干舷和浮力时，该标准考虑了船艇中被视为水密或风雨密的所有部分。</w:t>
            </w:r>
          </w:p>
        </w:tc>
      </w:tr>
      <w:tr>
        <w:trPr>
          <w:trHeight w:val="58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20</w:t>
            </w:r>
          </w:p>
        </w:tc>
        <w:tc>
          <w:tcPr>
            <w:tcW w:w="12193" w:type="dxa"/>
            <w:vAlign w:val="center"/>
          </w:tcPr>
          <w:p>
            <w:pPr>
              <w:pStyle w:val="107"/>
              <w:jc w:val="left"/>
              <w:rPr>
                <w:rFonts w:ascii="宋体" w:cs="宋体" w:hint="eastAsia"/>
                <w:sz w:val="22"/>
              </w:rPr>
            </w:pPr>
            <w:r>
              <w:rPr>
                <w:rFonts w:ascii="宋体" w:cs="宋体"/>
                <w:sz w:val="22"/>
              </w:rPr>
              <w:t>埃及标准草案《小型船艇船体构造与构件尺寸第4部分：车间与制造》。该埃及标准草案规定了车间条件、材料储存与搬运以及船艇制造的要求。它适用于艇体长度（LH）根据ISO 8666不超过24米的小型船艇。该标准不涉及健康与安全要求。</w:t>
            </w:r>
          </w:p>
        </w:tc>
      </w:tr>
      <w:tr>
        <w:trPr>
          <w:trHeight w:val="1230"/>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21</w:t>
            </w:r>
          </w:p>
        </w:tc>
        <w:tc>
          <w:tcPr>
            <w:tcW w:w="12193" w:type="dxa"/>
            <w:vAlign w:val="center"/>
          </w:tcPr>
          <w:p>
            <w:pPr>
              <w:jc w:val="left"/>
              <w:rPr>
                <w:rFonts w:ascii="宋体" w:cs="宋体" w:hint="eastAsia"/>
                <w:sz w:val="22"/>
              </w:rPr>
            </w:pPr>
            <w:r>
              <w:rPr>
                <w:rFonts w:ascii="宋体" w:cs="宋体"/>
                <w:sz w:val="22"/>
              </w:rPr>
              <w:t>埃及标准草案《小型船艇船体构造与构件尺寸第3部分：材料：钢、铝合金、木材及其他材料》。该标准草案规定了用于建造船体、上层建筑及附体（附属构件）的材料要求，具体包括：可焊接的普通强度和高强度热轧钢板、宽扁钢、型材和棒材；以板材或型材形式制成的奥氏体不锈钢；以板材、型材及挤压型材形式制成的变形铝合金；以实木、胶合板或单板形式制成的木材；其他适宜材料。该标准适用于根据 ISO 8666 标准艇体长度（LH）不超过 24 米的小型船艇。</w:t>
            </w:r>
          </w:p>
        </w:tc>
      </w:tr>
      <w:tr>
        <w:trPr>
          <w:trHeight w:val="6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22</w:t>
            </w:r>
          </w:p>
        </w:tc>
        <w:tc>
          <w:tcPr>
            <w:tcW w:w="12193" w:type="dxa"/>
            <w:vAlign w:val="center"/>
          </w:tcPr>
          <w:p>
            <w:pPr>
              <w:jc w:val="left"/>
              <w:rPr>
                <w:rFonts w:ascii="宋体" w:cs="宋体"/>
                <w:sz w:val="22"/>
              </w:rPr>
            </w:pPr>
            <w:r>
              <w:rPr>
                <w:rFonts w:ascii="宋体" w:cs="宋体"/>
                <w:sz w:val="22"/>
              </w:rPr>
              <w:t>埃及标准草案《小型船艇船体构造与构件尺寸第2部分：材料：夹层结构芯材、预埋材料》。该标准草案规定了用于结构用途的芯材以及嵌入夹层结构中的材料的要求。它适用于按照ISO 8666标准艇体长度（LH）不超过24米的小型船艇。</w:t>
            </w:r>
          </w:p>
        </w:tc>
      </w:tr>
      <w:tr>
        <w:trPr>
          <w:trHeight w:val="106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jc w:val="center"/>
              <w:rPr>
                <w:rFonts w:ascii="Times New Roman" w:cs="Times New Roman" w:hAnsi="Times New Roman"/>
                <w:color w:val="000000"/>
                <w:sz w:val="22"/>
                <w:szCs w:val="22"/>
              </w:rPr>
            </w:pPr>
            <w:r>
              <w:rPr>
                <w:rFonts w:ascii="Times New Roman" w:cs="Times New Roman" w:hAnsi="Times New Roman"/>
                <w:color w:val="000000"/>
                <w:sz w:val="22"/>
                <w:szCs w:val="22"/>
              </w:rPr>
              <w:t>23</w:t>
            </w:r>
          </w:p>
        </w:tc>
        <w:tc>
          <w:tcPr>
            <w:tcW w:w="12193" w:type="dxa"/>
            <w:vAlign w:val="center"/>
          </w:tcPr>
          <w:p>
            <w:pPr>
              <w:jc w:val="left"/>
              <w:rPr>
                <w:rFonts w:ascii="宋体" w:cs="宋体"/>
                <w:sz w:val="22"/>
              </w:rPr>
            </w:pPr>
            <w:r>
              <w:rPr>
                <w:rFonts w:ascii="宋体" w:cs="宋体"/>
                <w:sz w:val="22"/>
              </w:rPr>
              <w:t>埃及“小型船舶。船体结构和尺寸。第1部分：材料：热固性树脂、玻璃纤维增强材料、参考层压板”标准草案。该标准草案适用于按照 ISO 8666 标准、艇体长度（LH）不超过 24 米的小型船艇建造中所使用的热固性树脂和玻璃纤维增强材料。该标准还规定了玻璃纤维增强材料和树脂基体材料性能的最低要求，以及由它们制成的参考层合板的性能要求。</w:t>
            </w:r>
          </w:p>
        </w:tc>
      </w:tr>
      <w:tr>
        <w:trPr>
          <w:trHeight w:val="614"/>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09"/>
              <w:jc w:val="center"/>
              <w:rPr>
                <w:rFonts w:ascii="Times New Roman" w:cs="Times New Roman" w:hAnsi="Times New Roman"/>
                <w:color w:val="000000"/>
                <w:sz w:val="22"/>
                <w:szCs w:val="22"/>
              </w:rPr>
            </w:pPr>
            <w:r>
              <w:rPr>
                <w:rFonts w:ascii="Times New Roman" w:cs="Times New Roman" w:hAnsi="Times New Roman"/>
                <w:color w:val="000000"/>
                <w:sz w:val="22"/>
                <w:szCs w:val="22"/>
              </w:rPr>
              <w:t>24</w:t>
            </w:r>
          </w:p>
        </w:tc>
        <w:tc>
          <w:tcPr>
            <w:tcW w:w="12193" w:type="dxa"/>
            <w:vAlign w:val="center"/>
          </w:tcPr>
          <w:p>
            <w:pPr>
              <w:jc w:val="left"/>
              <w:rPr>
                <w:rFonts w:ascii="宋体" w:cs="宋体" w:hint="eastAsia"/>
                <w:sz w:val="22"/>
              </w:rPr>
            </w:pPr>
            <w:r>
              <w:rPr>
                <w:rFonts w:ascii="宋体" w:cs="宋体"/>
                <w:sz w:val="22"/>
              </w:rPr>
              <w:t>埃及标准草案《小型船舶 船体构造与构件尺寸第6部分：结构布置与细节》。本标准草案适用于根据ISO 8666测量，船体长度不超过24米、采用纤维增强塑料（FRP）、铝合金或钢合金、木材或其他合适造船材料建造的单体及多体小型船舶。</w:t>
            </w:r>
          </w:p>
        </w:tc>
      </w:tr>
      <w:tr>
        <w:trPr>
          <w:trHeight w:val="539"/>
        </w:trPr>
        <w:tc>
          <w:tcPr>
            <w:tcW w:w="1382" w:type="dxa"/>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巴西</w:t>
            </w:r>
          </w:p>
        </w:tc>
        <w:tc>
          <w:tcPr>
            <w:tcW w:w="596" w:type="dxa"/>
            <w:tcBorders>
              <w:top w:val="single" w:sz="4" w:space="0" w:color="000000"/>
              <w:left w:val="single" w:sz="4" w:space="0" w:color="000000"/>
              <w:right w:val="single" w:sz="4" w:space="0" w:color="000000"/>
            </w:tcBorders>
            <w:vAlign w:val="center"/>
          </w:tcPr>
          <w:p>
            <w:pPr>
              <w:pStyle w:val="110"/>
              <w:jc w:val="center"/>
              <w:rPr>
                <w:rFonts w:ascii="Times New Roman" w:cs="Times New Roman" w:hAnsi="Times New Roman"/>
                <w:color w:val="000000"/>
                <w:sz w:val="22"/>
                <w:szCs w:val="22"/>
              </w:rPr>
            </w:pPr>
            <w:r>
              <w:rPr>
                <w:rFonts w:ascii="Times New Roman" w:cs="Times New Roman" w:hAnsi="Times New Roman"/>
                <w:color w:val="000000"/>
                <w:sz w:val="22"/>
                <w:szCs w:val="22"/>
              </w:rPr>
              <w:t>25</w:t>
            </w:r>
          </w:p>
        </w:tc>
        <w:tc>
          <w:tcPr>
            <w:tcW w:w="12193" w:type="dxa"/>
            <w:vAlign w:val="center"/>
          </w:tcPr>
          <w:p>
            <w:pPr>
              <w:jc w:val="left"/>
              <w:rPr>
                <w:rFonts w:ascii="宋体" w:cs="宋体" w:hint="eastAsia"/>
                <w:sz w:val="22"/>
              </w:rPr>
            </w:pPr>
            <w:r>
              <w:rPr>
                <w:rFonts w:ascii="宋体" w:cs="宋体"/>
                <w:sz w:val="22"/>
              </w:rPr>
              <w:t>2026年5月8日第15.404号法律。该标准确立了可可衍生品的定义和特性、巧克力中可可的最低百分比要求，并要求在境内销售的本国及进口可可衍生品标签上标注可可的总百分比。</w:t>
            </w:r>
          </w:p>
        </w:tc>
      </w:tr>
      <w:tr>
        <w:trPr>
          <w:trHeight w:val="618"/>
        </w:trPr>
        <w:tc>
          <w:tcPr>
            <w:tcW w:w="1382" w:type="dxa"/>
            <w:tcBorders>
              <w:tl2br w:val="nil"/>
              <w:tr2bl w:val="nil"/>
            </w:tcBorders>
            <w:vAlign w:val="center"/>
          </w:tcPr>
          <w:p>
            <w:pPr>
              <w:pStyle w:val="164"/>
              <w:jc w:val="center"/>
              <w:textAlignment w:val="center"/>
              <w:rPr>
                <w:rFonts w:ascii="Times New Roman" w:cs="Times New Roman" w:hAnsi="Times New Roman"/>
                <w:color w:val="000000"/>
                <w:sz w:val="22"/>
                <w:szCs w:val="22"/>
              </w:rPr>
            </w:pPr>
            <w:r>
              <w:rPr>
                <w:rFonts w:ascii="Times New Roman" w:cs="Times New Roman" w:hAnsi="Times New Roman"/>
                <w:color w:val="000000"/>
                <w:sz w:val="22"/>
                <w:szCs w:val="22"/>
              </w:rPr>
              <w:t>布隆迪</w:t>
            </w:r>
          </w:p>
        </w:tc>
        <w:tc>
          <w:tcPr>
            <w:tcW w:w="596" w:type="dxa"/>
            <w:tcBorders>
              <w:top w:val="single" w:sz="4" w:space="0" w:color="000000"/>
              <w:left w:val="single" w:sz="4" w:space="0" w:color="000000"/>
              <w:right w:val="single" w:sz="4" w:space="0" w:color="000000"/>
            </w:tcBorders>
            <w:vAlign w:val="center"/>
          </w:tcPr>
          <w:p>
            <w:pPr>
              <w:pStyle w:val="111"/>
              <w:jc w:val="center"/>
              <w:rPr>
                <w:rFonts w:ascii="Times New Roman" w:cs="Times New Roman" w:hAnsi="Times New Roman"/>
                <w:color w:val="000000"/>
                <w:sz w:val="22"/>
                <w:szCs w:val="22"/>
              </w:rPr>
            </w:pPr>
            <w:r>
              <w:rPr>
                <w:rFonts w:ascii="Times New Roman" w:cs="Times New Roman" w:hAnsi="Times New Roman"/>
                <w:color w:val="000000"/>
                <w:sz w:val="22"/>
                <w:szCs w:val="22"/>
              </w:rPr>
              <w:t>26</w:t>
            </w:r>
          </w:p>
        </w:tc>
        <w:tc>
          <w:tcPr>
            <w:tcW w:w="12193" w:type="dxa"/>
            <w:vAlign w:val="center"/>
          </w:tcPr>
          <w:p>
            <w:pPr>
              <w:pStyle w:val="210"/>
              <w:jc w:val="left"/>
              <w:rPr>
                <w:rFonts w:ascii="宋体" w:cs="宋体" w:hint="eastAsia"/>
                <w:sz w:val="22"/>
              </w:rPr>
            </w:pPr>
            <w:r>
              <w:rPr>
                <w:rFonts w:ascii="宋体" w:cs="宋体"/>
                <w:sz w:val="22"/>
              </w:rPr>
              <w:t>DEAS 1343：2026，磨刀器规范，第一版。本标准草案规定了用于削铅笔、蜡笔和类似书写工具的手动和机械卷笔刀的要求、取样和测试方法。它涵盖由塑料、金属或复合材料制成的磨刀器，无论是单孔还是多孔，不包括工业刀片磨刀器。它适用于不带储液器的手持式卷笔刀、带储液器的手持式卷笔刀、台式手动卷笔刀、机械或电动卷笔刀以及为化妆品铅笔、巨型艺术铅笔设计的专用卷笔刀。或其他非标准尺寸。</w:t>
            </w:r>
          </w:p>
        </w:tc>
      </w:tr>
      <w:tr>
        <w:trPr>
          <w:trHeight w:val="642"/>
        </w:trPr>
        <w:tc>
          <w:tcPr>
            <w:tcW w:w="1382" w:type="dxa"/>
            <w:vMerge w:val="restart"/>
            <w:tcBorders>
              <w:tl2br w:val="nil"/>
              <w:tr2bl w:val="nil"/>
            </w:tcBorders>
            <w:vAlign w:val="center"/>
          </w:tcPr>
          <w:p>
            <w:pPr>
              <w:pStyle w:val="242"/>
              <w:jc w:val="center"/>
            </w:pPr>
            <w:r>
              <w:t>菲律宾</w:t>
            </w:r>
          </w:p>
        </w:tc>
        <w:tc>
          <w:tcPr>
            <w:tcW w:w="596" w:type="dxa"/>
            <w:tcBorders>
              <w:top w:val="single" w:sz="4" w:space="0" w:color="000000"/>
              <w:left w:val="single" w:sz="4" w:space="0" w:color="000000"/>
              <w:right w:val="single" w:sz="4" w:space="0" w:color="000000"/>
            </w:tcBorders>
            <w:vAlign w:val="center"/>
          </w:tcPr>
          <w:p>
            <w:pPr>
              <w:pStyle w:val="112"/>
              <w:jc w:val="center"/>
              <w:rPr>
                <w:rFonts w:ascii="Times New Roman" w:cs="Times New Roman" w:hAnsi="Times New Roman"/>
                <w:color w:val="000000"/>
                <w:sz w:val="22"/>
                <w:szCs w:val="22"/>
              </w:rPr>
            </w:pPr>
            <w:r>
              <w:rPr>
                <w:rFonts w:ascii="Times New Roman" w:cs="Times New Roman" w:hAnsi="Times New Roman"/>
                <w:color w:val="000000"/>
                <w:sz w:val="22"/>
                <w:szCs w:val="22"/>
              </w:rPr>
              <w:t>27</w:t>
            </w:r>
          </w:p>
        </w:tc>
        <w:tc>
          <w:tcPr>
            <w:tcW w:w="12193" w:type="dxa"/>
            <w:vAlign w:val="center"/>
          </w:tcPr>
          <w:p>
            <w:pPr>
              <w:pStyle w:val="211"/>
              <w:jc w:val="left"/>
              <w:rPr>
                <w:rFonts w:ascii="宋体" w:cs="宋体" w:hint="eastAsia"/>
                <w:sz w:val="22"/>
              </w:rPr>
            </w:pPr>
            <w:r>
              <w:rPr>
                <w:rFonts w:ascii="宋体" w:cs="宋体"/>
                <w:sz w:val="22"/>
              </w:rPr>
              <w:t>认可和采用用于人用药品和活性药物成分注册的官方药典。该政策认可并采用官方药典，作为在菲律宾注册供人使用的药品和活性药物成分的参考。</w:t>
            </w:r>
          </w:p>
        </w:tc>
      </w:tr>
      <w:tr>
        <w:trPr>
          <w:trHeight w:val="106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3"/>
              <w:jc w:val="center"/>
              <w:rPr>
                <w:rFonts w:ascii="Times New Roman" w:cs="Times New Roman" w:hAnsi="Times New Roman"/>
                <w:color w:val="000000"/>
                <w:sz w:val="22"/>
                <w:szCs w:val="22"/>
              </w:rPr>
            </w:pPr>
            <w:r>
              <w:rPr>
                <w:rFonts w:ascii="Times New Roman" w:cs="Times New Roman" w:hAnsi="Times New Roman"/>
                <w:color w:val="000000"/>
                <w:sz w:val="22"/>
                <w:szCs w:val="22"/>
              </w:rPr>
              <w:t>28</w:t>
            </w:r>
          </w:p>
        </w:tc>
        <w:tc>
          <w:tcPr>
            <w:tcW w:w="12193" w:type="dxa"/>
            <w:vAlign w:val="center"/>
          </w:tcPr>
          <w:p>
            <w:pPr>
              <w:pStyle w:val="213"/>
              <w:jc w:val="left"/>
              <w:rPr>
                <w:rFonts w:ascii="宋体" w:cs="宋体" w:hint="eastAsia"/>
                <w:sz w:val="22"/>
              </w:rPr>
            </w:pPr>
            <w:r>
              <w:rPr>
                <w:rFonts w:ascii="宋体" w:cs="宋体"/>
                <w:sz w:val="22"/>
              </w:rPr>
              <w:t>DTI部门行政命令“太阳能系统强制性产品认证技术规定，包括太阳能光伏模块、逆变器、电池储能系统、快速关机装置、电池充电控制器和光伏电缆”。该部门行政命令旨在确保太阳能系统的组件，包括太阳能光伏模块、逆变器、电池储能系统、快速关闭装置、电池充电控制器和光伏电缆用于在菲律宾进口、制造、分销、销售、安装或使用，符合适用的菲律宾国家标准规定的安全和质量要求。这是为了保护消费者，确保产品可靠性，并促进该国采用安全高效的太阳能技术。</w:t>
            </w:r>
          </w:p>
        </w:tc>
      </w:tr>
      <w:tr>
        <w:trPr>
          <w:trHeight w:val="1861"/>
        </w:trPr>
        <w:tc>
          <w:tcPr>
            <w:tcW w:w="1382" w:type="dxa"/>
            <w:vMerge w:val="restart"/>
            <w:tcBorders>
              <w:tl2br w:val="nil"/>
              <w:tr2bl w:val="nil"/>
            </w:tcBorders>
            <w:vAlign w:val="center"/>
          </w:tcPr>
          <w:p>
            <w:pPr>
              <w:pStyle w:val="243"/>
              <w:jc w:val="center"/>
            </w:pPr>
            <w:r>
              <w:t>哥伦比亚</w:t>
            </w:r>
          </w:p>
        </w:tc>
        <w:tc>
          <w:tcPr>
            <w:tcW w:w="596" w:type="dxa"/>
            <w:tcBorders>
              <w:top w:val="single" w:sz="4" w:space="0" w:color="000000"/>
              <w:left w:val="single" w:sz="4" w:space="0" w:color="000000"/>
              <w:right w:val="single" w:sz="4" w:space="0" w:color="000000"/>
            </w:tcBorders>
            <w:vAlign w:val="center"/>
          </w:tcPr>
          <w:p>
            <w:pPr>
              <w:pStyle w:val="114"/>
              <w:jc w:val="center"/>
              <w:rPr>
                <w:rFonts w:ascii="Times New Roman" w:cs="Times New Roman" w:hAnsi="Times New Roman"/>
                <w:color w:val="000000"/>
                <w:sz w:val="22"/>
                <w:szCs w:val="22"/>
              </w:rPr>
            </w:pPr>
            <w:r>
              <w:rPr>
                <w:rFonts w:ascii="Times New Roman" w:cs="Times New Roman" w:hAnsi="Times New Roman"/>
                <w:color w:val="000000"/>
                <w:sz w:val="22"/>
                <w:szCs w:val="22"/>
              </w:rPr>
              <w:t>29</w:t>
            </w:r>
          </w:p>
        </w:tc>
        <w:tc>
          <w:tcPr>
            <w:tcW w:w="12193" w:type="dxa"/>
            <w:vAlign w:val="center"/>
          </w:tcPr>
          <w:p>
            <w:pPr>
              <w:pStyle w:val="215"/>
              <w:jc w:val="left"/>
              <w:rPr>
                <w:rFonts w:ascii="宋体" w:cs="宋体" w:hint="eastAsia"/>
                <w:sz w:val="22"/>
              </w:rPr>
            </w:pPr>
            <w:r>
              <w:rPr>
                <w:rFonts w:ascii="宋体" w:cs="宋体"/>
                <w:sz w:val="22"/>
              </w:rPr>
              <w:t>法令草案“建立了适用于医疗器械的卫生制度，确定了其营销授权、卫生监督和控制的规则，并发布了其他规定”。该法令草案规定了适用于哥伦比亚人用医疗器械和体外诊断医疗器械的新卫生制度，包括与制造、进口、销售、包装、储存、标签、卫生监督及合格评定相关的条款。该措施采用了基于医疗器械风险水平的监管框架，并规定了相应卫生授权的授予、修改、续期和注销的适用要求。同时，草案还制定了关于良好生产规范、储存和包装能力证书、上市后监督、可追溯性以及制造商、进口商和其他供应链参与者的义务等方面的规定。该草案旨在确保医疗器械的质量、安全性和性能，以最大程度降低人类健康和安全风险，并保护使用这些器械的人员。</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15"/>
              <w:jc w:val="center"/>
              <w:rPr>
                <w:rFonts w:ascii="Times New Roman" w:cs="Times New Roman" w:hAnsi="Times New Roman"/>
                <w:color w:val="000000"/>
                <w:sz w:val="22"/>
                <w:szCs w:val="22"/>
              </w:rPr>
            </w:pPr>
            <w:r>
              <w:rPr>
                <w:rFonts w:ascii="Times New Roman" w:cs="Times New Roman" w:hAnsi="Times New Roman"/>
                <w:color w:val="000000"/>
                <w:sz w:val="22"/>
                <w:szCs w:val="22"/>
              </w:rPr>
              <w:t>30</w:t>
            </w:r>
          </w:p>
        </w:tc>
        <w:tc>
          <w:tcPr>
            <w:tcW w:w="12193" w:type="dxa"/>
            <w:vAlign w:val="center"/>
          </w:tcPr>
          <w:p>
            <w:pPr>
              <w:pStyle w:val="89"/>
              <w:jc w:val="left"/>
              <w:rPr>
                <w:rFonts w:ascii="宋体" w:cs="宋体"/>
                <w:sz w:val="22"/>
              </w:rPr>
            </w:pPr>
            <w:r>
              <w:rPr>
                <w:rFonts w:ascii="宋体" w:cs="宋体"/>
                <w:sz w:val="22"/>
              </w:rPr>
              <w:t>决议草案制定在国家领土上遵守和正确适用2025年安第斯第960号决定及其技术手册的必要规定，以及最低限度基本补充原则。制定了在哥伦比亚实施2025年安第斯第960号决定及其技术手册的必要规定，涉及公司、实验室和兽医用产品（药理学、生物制剂、体外寄生虫杀灭剂、杀虫剂、消毒剂等）的注册、更新、更新和控制。该措施规定了行政程序、文件要求、技术评估和更新登记册的时间表，以保证动物健康和安全，并与安第斯卫生框架保持一致。</w:t>
            </w:r>
          </w:p>
        </w:tc>
      </w:tr>
      <w:tr>
        <w:trPr>
          <w:trHeight w:val="613"/>
        </w:trPr>
        <w:tc>
          <w:tcPr>
            <w:tcW w:w="1382" w:type="dxa"/>
            <w:tcBorders>
              <w:tl2br w:val="nil"/>
              <w:tr2bl w:val="nil"/>
            </w:tcBorders>
            <w:vAlign w:val="center"/>
          </w:tcPr>
          <w:p>
            <w:pPr>
              <w:pStyle w:val="232"/>
              <w:jc w:val="center"/>
            </w:pPr>
            <w:r>
              <w:rPr>
                <w:rFonts w:cs="Lucida Sans"/>
              </w:rPr>
              <w:t>吉尔吉斯斯坦</w:t>
            </w:r>
          </w:p>
        </w:tc>
        <w:tc>
          <w:tcPr>
            <w:tcW w:w="596" w:type="dxa"/>
            <w:tcBorders>
              <w:top w:val="single" w:sz="4" w:space="0" w:color="000000"/>
              <w:left w:val="single" w:sz="4" w:space="0" w:color="000000"/>
              <w:right w:val="single" w:sz="4" w:space="0" w:color="000000"/>
            </w:tcBorders>
            <w:vAlign w:val="center"/>
          </w:tcPr>
          <w:p>
            <w:pPr>
              <w:pStyle w:val="116"/>
              <w:jc w:val="center"/>
              <w:rPr>
                <w:rFonts w:ascii="Times New Roman" w:cs="Times New Roman" w:hAnsi="Times New Roman"/>
                <w:color w:val="000000"/>
                <w:sz w:val="22"/>
                <w:szCs w:val="22"/>
              </w:rPr>
            </w:pPr>
            <w:r>
              <w:rPr>
                <w:rFonts w:ascii="Times New Roman" w:cs="Times New Roman" w:hAnsi="Times New Roman"/>
                <w:color w:val="000000"/>
                <w:sz w:val="22"/>
                <w:szCs w:val="22"/>
              </w:rPr>
              <w:t>31</w:t>
            </w:r>
          </w:p>
        </w:tc>
        <w:tc>
          <w:tcPr>
            <w:tcW w:w="12193" w:type="dxa"/>
            <w:vAlign w:val="center"/>
          </w:tcPr>
          <w:p>
            <w:pPr>
              <w:jc w:val="left"/>
              <w:rPr>
                <w:rFonts w:ascii="宋体" w:cs="宋体"/>
                <w:sz w:val="22"/>
              </w:rPr>
            </w:pPr>
            <w:r>
              <w:rPr>
                <w:rFonts w:ascii="宋体" w:cs="宋体"/>
                <w:sz w:val="22"/>
              </w:rPr>
              <w:t>《医疗器械安全质量有效性注册和审查规则》修订草案。《医疗器械安全性、质量和有效性注册和检验规则》修订草案规定，如果医疗器械上市许可申请中没有有效的检验结果报告，可以暂停上市许可的有效性，以防止质量差的医疗产品进入流通。</w:t>
            </w:r>
          </w:p>
        </w:tc>
      </w:tr>
      <w:tr>
        <w:trPr>
          <w:trHeight w:val="435"/>
        </w:trPr>
        <w:tc>
          <w:tcPr>
            <w:tcW w:w="1382" w:type="dxa"/>
            <w:tcBorders>
              <w:tl2br w:val="nil"/>
              <w:tr2bl w:val="nil"/>
            </w:tcBorders>
            <w:vAlign w:val="center"/>
          </w:tcPr>
          <w:p>
            <w:pPr>
              <w:pStyle w:val="93"/>
              <w:jc w:val="center"/>
            </w:pPr>
            <w:r>
              <w:rPr>
                <w:rFonts w:cs="Lucida Sans"/>
              </w:rPr>
              <w:t>哥斯达黎加</w:t>
            </w:r>
          </w:p>
        </w:tc>
        <w:tc>
          <w:tcPr>
            <w:tcW w:w="596" w:type="dxa"/>
            <w:tcBorders>
              <w:top w:val="single" w:sz="4" w:space="0" w:color="000000"/>
              <w:left w:val="single" w:sz="4" w:space="0" w:color="000000"/>
              <w:right w:val="single" w:sz="4" w:space="0" w:color="000000"/>
            </w:tcBorders>
            <w:vAlign w:val="center"/>
          </w:tcPr>
          <w:p>
            <w:pPr>
              <w:pStyle w:val="117"/>
              <w:jc w:val="center"/>
              <w:rPr>
                <w:rFonts w:ascii="Times New Roman" w:cs="Times New Roman" w:hAnsi="Times New Roman"/>
                <w:color w:val="000000"/>
                <w:sz w:val="22"/>
                <w:szCs w:val="22"/>
              </w:rPr>
            </w:pPr>
            <w:r>
              <w:rPr>
                <w:rFonts w:ascii="Times New Roman" w:cs="Times New Roman" w:hAnsi="Times New Roman"/>
                <w:color w:val="000000"/>
                <w:sz w:val="22"/>
                <w:szCs w:val="22"/>
              </w:rPr>
              <w:t>32</w:t>
            </w:r>
          </w:p>
        </w:tc>
        <w:tc>
          <w:tcPr>
            <w:tcW w:w="12193" w:type="dxa"/>
            <w:vAlign w:val="center"/>
          </w:tcPr>
          <w:p>
            <w:pPr>
              <w:pStyle w:val="168"/>
              <w:jc w:val="left"/>
              <w:rPr>
                <w:rFonts w:ascii="宋体" w:cs="宋体"/>
                <w:sz w:val="22"/>
              </w:rPr>
            </w:pPr>
            <w:r>
              <w:rPr>
                <w:rFonts w:ascii="宋体" w:cs="宋体"/>
                <w:sz w:val="22"/>
              </w:rPr>
              <w:t>关于规范进口原产于哥伦比亚的大豆种子的决议草案。规定了进口原产于哥伦比亚的大豆种子的植物检疫措施。</w:t>
            </w:r>
          </w:p>
        </w:tc>
      </w:tr>
      <w:tr>
        <w:trPr>
          <w:trHeight w:val="925"/>
        </w:trPr>
        <w:tc>
          <w:tcPr>
            <w:tcW w:w="1382" w:type="dxa"/>
            <w:tcBorders>
              <w:tl2br w:val="nil"/>
              <w:tr2bl w:val="nil"/>
            </w:tcBorders>
            <w:vAlign w:val="center"/>
          </w:tcPr>
          <w:p>
            <w:pPr>
              <w:pStyle w:val="93"/>
              <w:jc w:val="center"/>
            </w:pPr>
            <w:r>
              <w:t>卢旺达</w:t>
            </w:r>
          </w:p>
        </w:tc>
        <w:tc>
          <w:tcPr>
            <w:tcW w:w="596" w:type="dxa"/>
            <w:tcBorders>
              <w:top w:val="single" w:sz="4" w:space="0" w:color="000000"/>
              <w:left w:val="single" w:sz="4" w:space="0" w:color="000000"/>
              <w:right w:val="single" w:sz="4" w:space="0" w:color="000000"/>
            </w:tcBorders>
            <w:vAlign w:val="center"/>
          </w:tcPr>
          <w:p>
            <w:pPr>
              <w:pStyle w:val="118"/>
              <w:jc w:val="center"/>
              <w:rPr>
                <w:rFonts w:ascii="Times New Roman" w:cs="Times New Roman" w:hAnsi="Times New Roman"/>
                <w:color w:val="000000"/>
                <w:sz w:val="22"/>
                <w:szCs w:val="22"/>
              </w:rPr>
            </w:pPr>
            <w:r>
              <w:rPr>
                <w:rFonts w:ascii="Times New Roman" w:cs="Times New Roman" w:hAnsi="Times New Roman"/>
                <w:color w:val="000000"/>
                <w:sz w:val="22"/>
                <w:szCs w:val="22"/>
              </w:rPr>
              <w:t>33</w:t>
            </w:r>
          </w:p>
        </w:tc>
        <w:tc>
          <w:tcPr>
            <w:tcW w:w="12193" w:type="dxa"/>
            <w:vAlign w:val="center"/>
          </w:tcPr>
          <w:p>
            <w:pPr>
              <w:pStyle w:val="92"/>
              <w:jc w:val="left"/>
              <w:rPr>
                <w:rFonts w:ascii="宋体" w:cs="宋体"/>
                <w:sz w:val="22"/>
              </w:rPr>
            </w:pPr>
            <w:r>
              <w:rPr>
                <w:rFonts w:ascii="宋体" w:cs="宋体"/>
                <w:sz w:val="22"/>
              </w:rPr>
              <w:t>DRS 642：2026，生物安全2级植物生物技术设施要求(BSL-2)。本标准草案规定了用于生物安全二级（BSL-2）水平的植物生物技术设施在设计、建造、运行、维护、管理及生物安全实践方面的要求。它适用于所有可能对人类和环境造成中度风险的研究与开发活动。该标准涵盖用于植物生物技术活动的实验室、生长室、温室、防护室及相关辅助区域，这些活动涉及需要BSL-2防护的生物因子和材料。具体内容聚焦于：a)设施设计与防护要求；b)生物安全与生物安保管理；c)人员能力与培训；d)操作与工作规范；e)设备要求；f)废物管理与去污；g)应急准备与响应；以及h)环境与职业安全措施。</w:t>
            </w:r>
          </w:p>
        </w:tc>
      </w:tr>
      <w:tr>
        <w:trPr>
          <w:trHeight w:val="301"/>
        </w:trPr>
        <w:tc>
          <w:tcPr>
            <w:tcW w:w="1382" w:type="dxa"/>
            <w:tcBorders>
              <w:tl2br w:val="nil"/>
              <w:tr2bl w:val="nil"/>
            </w:tcBorders>
            <w:vAlign w:val="center"/>
          </w:tcPr>
          <w:p>
            <w:pPr>
              <w:pStyle w:val="233"/>
              <w:jc w:val="center"/>
            </w:pPr>
            <w:r>
              <w:t>肯尼亚</w:t>
            </w:r>
          </w:p>
        </w:tc>
        <w:tc>
          <w:tcPr>
            <w:tcW w:w="596" w:type="dxa"/>
            <w:tcBorders>
              <w:top w:val="single" w:sz="4" w:space="0" w:color="000000"/>
              <w:left w:val="single" w:sz="4" w:space="0" w:color="000000"/>
              <w:right w:val="single" w:sz="4" w:space="0" w:color="000000"/>
            </w:tcBorders>
            <w:vAlign w:val="center"/>
          </w:tcPr>
          <w:p>
            <w:pPr>
              <w:pStyle w:val="119"/>
              <w:jc w:val="center"/>
              <w:rPr>
                <w:rFonts w:ascii="Times New Roman" w:cs="Times New Roman" w:hAnsi="Times New Roman"/>
                <w:color w:val="000000"/>
                <w:sz w:val="22"/>
                <w:szCs w:val="22"/>
              </w:rPr>
            </w:pPr>
            <w:r>
              <w:rPr>
                <w:rFonts w:ascii="Times New Roman" w:cs="Times New Roman" w:hAnsi="Times New Roman"/>
                <w:color w:val="000000"/>
                <w:sz w:val="22"/>
                <w:szCs w:val="22"/>
              </w:rPr>
              <w:t>34</w:t>
            </w:r>
          </w:p>
        </w:tc>
        <w:tc>
          <w:tcPr>
            <w:tcW w:w="12193" w:type="dxa"/>
            <w:vAlign w:val="center"/>
          </w:tcPr>
          <w:p>
            <w:pPr>
              <w:jc w:val="left"/>
              <w:rPr>
                <w:rFonts w:ascii="宋体" w:cs="宋体"/>
                <w:sz w:val="22"/>
              </w:rPr>
            </w:pPr>
            <w:r>
              <w:rPr>
                <w:rFonts w:ascii="宋体" w:cs="宋体"/>
                <w:sz w:val="22"/>
              </w:rPr>
              <w:t>DEAS 128：2026，精米规格，第五版。本标准草案规定了从米粒中生长的碾米品种的要求、取样和试验方法。)供人食用。本标准也适用于磨碎的蒸谷米。</w:t>
            </w:r>
          </w:p>
        </w:tc>
      </w:tr>
      <w:tr>
        <w:trPr>
          <w:trHeight w:val="1237"/>
        </w:trPr>
        <w:tc>
          <w:tcPr>
            <w:tcW w:w="1382" w:type="dxa"/>
            <w:vMerge w:val="restart"/>
            <w:tcBorders>
              <w:tl2br w:val="nil"/>
              <w:tr2bl w:val="nil"/>
            </w:tcBorders>
            <w:vAlign w:val="center"/>
          </w:tcPr>
          <w:p>
            <w:pPr>
              <w:pStyle w:val="244"/>
              <w:jc w:val="center"/>
            </w:pPr>
            <w:r>
              <w:t>秘鲁</w:t>
            </w:r>
          </w:p>
        </w:tc>
        <w:tc>
          <w:tcPr>
            <w:tcW w:w="596" w:type="dxa"/>
            <w:tcBorders>
              <w:top w:val="single" w:sz="4" w:space="0" w:color="000000"/>
              <w:left w:val="single" w:sz="4" w:space="0" w:color="000000"/>
              <w:right w:val="single" w:sz="4" w:space="0" w:color="000000"/>
            </w:tcBorders>
            <w:vAlign w:val="center"/>
          </w:tcPr>
          <w:p>
            <w:pPr>
              <w:pStyle w:val="120"/>
              <w:jc w:val="center"/>
              <w:rPr>
                <w:rFonts w:ascii="Times New Roman" w:cs="Times New Roman" w:hAnsi="Times New Roman"/>
                <w:color w:val="000000"/>
                <w:sz w:val="22"/>
                <w:szCs w:val="22"/>
              </w:rPr>
            </w:pPr>
            <w:r>
              <w:rPr>
                <w:rFonts w:ascii="Times New Roman" w:cs="Times New Roman" w:hAnsi="Times New Roman"/>
                <w:color w:val="000000"/>
                <w:sz w:val="22"/>
                <w:szCs w:val="22"/>
              </w:rPr>
              <w:t>35</w:t>
            </w:r>
          </w:p>
        </w:tc>
        <w:tc>
          <w:tcPr>
            <w:tcW w:w="12193" w:type="dxa"/>
            <w:vAlign w:val="center"/>
          </w:tcPr>
          <w:p>
            <w:pPr>
              <w:pStyle w:val="62"/>
              <w:jc w:val="left"/>
              <w:rPr>
                <w:rFonts w:ascii="宋体" w:cs="宋体"/>
                <w:sz w:val="22"/>
              </w:rPr>
            </w:pPr>
            <w:r>
              <w:rPr>
                <w:rFonts w:ascii="宋体" w:cs="宋体"/>
                <w:sz w:val="22"/>
              </w:rPr>
              <w:t>第32159号法律条例草案：《控制烟草产品、尼古丁或两者替代品消费以保护生命和健康法》。该条例旨在发展第32159号法律《控制烟草产品、尼古丁或其替代品消费以保护生命和健康法》的规定，通过适用与限制和禁止烟草产品、尼古丁产品及其替代品的广告、营销和消费有关的规定，保护生命并保障个人、家庭和社区的健康权；其监测和控制；以及将消费这些产品所产生的健康、社会、环境和经济后果社会化的信息和教育。</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1"/>
              <w:jc w:val="center"/>
              <w:rPr>
                <w:rFonts w:ascii="Times New Roman" w:cs="Times New Roman" w:hAnsi="Times New Roman"/>
                <w:color w:val="000000"/>
                <w:sz w:val="22"/>
                <w:szCs w:val="22"/>
              </w:rPr>
            </w:pPr>
            <w:r>
              <w:rPr>
                <w:rFonts w:ascii="Times New Roman" w:cs="Times New Roman" w:hAnsi="Times New Roman"/>
                <w:color w:val="000000"/>
                <w:sz w:val="22"/>
                <w:szCs w:val="22"/>
              </w:rPr>
              <w:t>36</w:t>
            </w:r>
          </w:p>
        </w:tc>
        <w:tc>
          <w:tcPr>
            <w:tcW w:w="12193" w:type="dxa"/>
            <w:vAlign w:val="center"/>
          </w:tcPr>
          <w:p>
            <w:pPr>
              <w:pStyle w:val="63"/>
              <w:jc w:val="left"/>
              <w:rPr>
                <w:rFonts w:ascii="宋体" w:cs="宋体"/>
                <w:sz w:val="22"/>
              </w:rPr>
            </w:pPr>
            <w:r>
              <w:rPr>
                <w:rFonts w:ascii="宋体" w:cs="宋体"/>
                <w:sz w:val="22"/>
              </w:rPr>
              <w:t>修改《食品和饮料卫生监督和控制条例》第119条的最高法令草案。经第007-98-SA号最高法令批准，该最高法令草案旨在修改第007-98-SA号最高法令批准的《食品和饮料卫生监督和控制条例》第119条（材料和包装）。</w:t>
            </w:r>
          </w:p>
        </w:tc>
      </w:tr>
      <w:tr>
        <w:trPr>
          <w:trHeight w:val="699"/>
        </w:trPr>
        <w:tc>
          <w:tcPr>
            <w:tcW w:w="1382" w:type="dxa"/>
            <w:vMerge w:val="restart"/>
            <w:tcBorders>
              <w:tl2br w:val="nil"/>
              <w:tr2bl w:val="nil"/>
            </w:tcBorders>
            <w:vAlign w:val="center"/>
          </w:tcPr>
          <w:p>
            <w:pPr>
              <w:pStyle w:val="245"/>
              <w:jc w:val="center"/>
              <w:textAlignment w:val="center"/>
            </w:pPr>
            <w:r>
              <w:t>墨西哥</w:t>
            </w:r>
          </w:p>
        </w:tc>
        <w:tc>
          <w:tcPr>
            <w:tcW w:w="596" w:type="dxa"/>
            <w:tcBorders>
              <w:top w:val="single" w:sz="4" w:space="0" w:color="000000"/>
              <w:left w:val="single" w:sz="4" w:space="0" w:color="000000"/>
              <w:right w:val="single" w:sz="4" w:space="0" w:color="000000"/>
            </w:tcBorders>
            <w:vAlign w:val="center"/>
          </w:tcPr>
          <w:p>
            <w:pPr>
              <w:pStyle w:val="122"/>
              <w:jc w:val="center"/>
              <w:rPr>
                <w:rFonts w:ascii="Times New Roman" w:cs="Times New Roman" w:hAnsi="Times New Roman"/>
                <w:color w:val="000000"/>
                <w:sz w:val="22"/>
                <w:szCs w:val="22"/>
              </w:rPr>
            </w:pPr>
            <w:r>
              <w:rPr>
                <w:rFonts w:ascii="Times New Roman" w:cs="Times New Roman" w:hAnsi="Times New Roman"/>
                <w:color w:val="000000"/>
                <w:sz w:val="22"/>
                <w:szCs w:val="22"/>
              </w:rPr>
              <w:t>37</w:t>
            </w:r>
          </w:p>
        </w:tc>
        <w:tc>
          <w:tcPr>
            <w:tcW w:w="12193" w:type="dxa"/>
            <w:vAlign w:val="center"/>
          </w:tcPr>
          <w:p>
            <w:pPr>
              <w:jc w:val="left"/>
              <w:rPr>
                <w:rFonts w:ascii="宋体" w:cs="宋体"/>
                <w:sz w:val="22"/>
              </w:rPr>
            </w:pPr>
            <w:r>
              <w:rPr>
                <w:rFonts w:ascii="宋体" w:cs="宋体"/>
                <w:sz w:val="22"/>
              </w:rPr>
              <w:t>墨西哥官方标准草案PROY-NOM-027-ASEA-2026加油站，其特定目的是向公众销售液化天然气或机动车辆液化天然气。该项目旨在制定工业安全、操作安全和环境保护的技术规范和要求，这些规范和要求必须应用于加油站的设计、施工、运营和维护阶段，以及启动前的安全审查，具体目的是向公众销售液化天然气或液化天然气，用于机动车辆。</w:t>
            </w:r>
          </w:p>
        </w:tc>
      </w:tr>
      <w:tr>
        <w:trPr>
          <w:trHeight w:val="355"/>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3"/>
              <w:jc w:val="center"/>
              <w:rPr>
                <w:rFonts w:ascii="Times New Roman" w:cs="Times New Roman" w:hAnsi="Times New Roman"/>
                <w:color w:val="000000"/>
                <w:sz w:val="22"/>
                <w:szCs w:val="22"/>
              </w:rPr>
            </w:pPr>
            <w:r>
              <w:rPr>
                <w:rFonts w:ascii="Times New Roman" w:cs="Times New Roman" w:hAnsi="Times New Roman"/>
                <w:color w:val="000000"/>
                <w:sz w:val="22"/>
                <w:szCs w:val="22"/>
              </w:rPr>
              <w:t>38</w:t>
            </w:r>
          </w:p>
        </w:tc>
        <w:tc>
          <w:tcPr>
            <w:tcW w:w="12193" w:type="dxa"/>
            <w:vAlign w:val="center"/>
          </w:tcPr>
          <w:p>
            <w:pPr>
              <w:jc w:val="left"/>
              <w:rPr>
                <w:rFonts w:ascii="宋体" w:cs="宋体"/>
                <w:sz w:val="22"/>
              </w:rPr>
            </w:pPr>
            <w:r>
              <w:rPr>
                <w:rFonts w:ascii="宋体" w:cs="宋体"/>
                <w:sz w:val="22"/>
              </w:rPr>
              <w:t>墨西哥官方标准草案PROY-NOM-026-ASEA-2026，受碳氢化合物部门污染物排放和转移登记联邦能力报告约束的物质。清单、碳氢化合物部门的报告阈值以及纳入和排除物质或修改其报告阈值的技术标准。该项目旨在建立碳氢化合物部门活动中排放或转移的受联邦碳氢化合物部门管辖的物质清单，以纳入污染物排放和转移登记册。</w:t>
            </w:r>
          </w:p>
        </w:tc>
      </w:tr>
      <w:tr>
        <w:trPr>
          <w:trHeight w:val="338"/>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4"/>
              <w:jc w:val="center"/>
              <w:rPr>
                <w:rFonts w:ascii="Times New Roman" w:cs="Times New Roman" w:hAnsi="Times New Roman"/>
                <w:color w:val="000000"/>
                <w:sz w:val="22"/>
                <w:szCs w:val="22"/>
              </w:rPr>
            </w:pPr>
            <w:r>
              <w:rPr>
                <w:rFonts w:ascii="Times New Roman" w:cs="Times New Roman" w:hAnsi="Times New Roman"/>
                <w:color w:val="000000"/>
                <w:sz w:val="22"/>
                <w:szCs w:val="22"/>
              </w:rPr>
              <w:t>39</w:t>
            </w:r>
          </w:p>
        </w:tc>
        <w:tc>
          <w:tcPr>
            <w:tcW w:w="12193" w:type="dxa"/>
            <w:vAlign w:val="center"/>
          </w:tcPr>
          <w:p>
            <w:pPr>
              <w:jc w:val="left"/>
              <w:rPr>
                <w:rFonts w:ascii="宋体" w:cs="宋体"/>
                <w:sz w:val="22"/>
              </w:rPr>
            </w:pPr>
            <w:r>
              <w:rPr>
                <w:rFonts w:ascii="宋体" w:cs="宋体"/>
                <w:sz w:val="22"/>
              </w:rPr>
              <w:t>墨西哥官方标准草案 PROY-NOM-032-STPS-2026《地下煤矿安全》。该草案旨在规定地下煤矿必须遵守的安全与健康条件和要求，并就地下煤矿运行所需配套的地面设施中应遵守的适用职业安全与健康标准作出规定，目的是为了预防在这些工作场所工作的劳动者发生工伤事故或罹患职业病。</w:t>
            </w:r>
          </w:p>
        </w:tc>
      </w:tr>
      <w:tr>
        <w:trPr>
          <w:trHeight w:val="914"/>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5"/>
              <w:jc w:val="center"/>
              <w:rPr>
                <w:rFonts w:ascii="Times New Roman" w:cs="Times New Roman" w:hAnsi="Times New Roman"/>
                <w:color w:val="000000"/>
                <w:sz w:val="22"/>
                <w:szCs w:val="22"/>
              </w:rPr>
            </w:pPr>
            <w:r>
              <w:rPr>
                <w:rFonts w:ascii="Times New Roman" w:cs="Times New Roman" w:hAnsi="Times New Roman"/>
                <w:color w:val="000000"/>
                <w:sz w:val="22"/>
                <w:szCs w:val="22"/>
              </w:rPr>
              <w:t>40</w:t>
            </w:r>
          </w:p>
        </w:tc>
        <w:tc>
          <w:tcPr>
            <w:tcW w:w="12193" w:type="dxa"/>
            <w:vAlign w:val="center"/>
          </w:tcPr>
          <w:p>
            <w:pPr>
              <w:jc w:val="left"/>
              <w:rPr>
                <w:rFonts w:ascii="宋体" w:cs="宋体"/>
                <w:sz w:val="22"/>
              </w:rPr>
            </w:pPr>
            <w:r>
              <w:rPr>
                <w:rFonts w:ascii="宋体" w:cs="宋体"/>
                <w:sz w:val="22"/>
              </w:rPr>
              <w:t>墨西哥官方标准草案PROY-NOM-028-ASEA-2026通过半挂车运输或分配液化天然气安全条件以及船上集装箱和设备的操作。该项目旨在制定工业安全、操作安全和环境保护方面的技术规范和要求，通过液化天然气集装箱、设备和配件进行液化天然气运输或分配活动的监管机构必须遵守这些规范和要求。半挂车，在运营开始、运营和维护以及运营结束阶段。</w:t>
            </w:r>
          </w:p>
        </w:tc>
      </w:tr>
      <w:tr>
        <w:trPr>
          <w:trHeight w:val="63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6"/>
              <w:jc w:val="center"/>
              <w:rPr>
                <w:rFonts w:ascii="Times New Roman" w:cs="Times New Roman" w:hAnsi="Times New Roman"/>
                <w:color w:val="000000"/>
                <w:sz w:val="22"/>
                <w:szCs w:val="22"/>
              </w:rPr>
            </w:pPr>
            <w:r>
              <w:rPr>
                <w:rFonts w:ascii="Times New Roman" w:cs="Times New Roman" w:hAnsi="Times New Roman"/>
                <w:color w:val="000000"/>
                <w:sz w:val="22"/>
                <w:szCs w:val="22"/>
              </w:rPr>
              <w:t>41</w:t>
            </w:r>
          </w:p>
        </w:tc>
        <w:tc>
          <w:tcPr>
            <w:tcW w:w="12193" w:type="dxa"/>
            <w:vAlign w:val="center"/>
          </w:tcPr>
          <w:p>
            <w:pPr>
              <w:jc w:val="left"/>
              <w:rPr>
                <w:rFonts w:ascii="宋体" w:cs="宋体"/>
                <w:sz w:val="22"/>
              </w:rPr>
            </w:pPr>
            <w:r>
              <w:rPr>
                <w:rFonts w:ascii="宋体" w:cs="宋体"/>
                <w:sz w:val="22"/>
              </w:rPr>
              <w:t>墨西哥官方标准草案PROY-NOM-029-ASEA-2026通过油罐车和半挂车运输液化石油气。该项目旨在制定工业安全、操作安全和环境保护的技术规范和要求，这些规范和要求是通过罐车和半挂车进行液化石油气运输活动的受监管人员必须遵守的，在后一种情况下是各自的牵引车（牵引车-半挂车）。</w:t>
            </w:r>
          </w:p>
        </w:tc>
      </w:tr>
      <w:tr>
        <w:trPr>
          <w:trHeight w:val="701"/>
        </w:trPr>
        <w:tc>
          <w:tcPr>
            <w:tcW w:w="1382" w:type="dxa"/>
            <w:tcBorders>
              <w:tl2br w:val="nil"/>
              <w:tr2bl w:val="nil"/>
            </w:tcBorders>
            <w:vAlign w:val="center"/>
          </w:tcPr>
          <w:p>
            <w:pPr>
              <w:pStyle w:val="234"/>
              <w:jc w:val="center"/>
              <w:textAlignment w:val="center"/>
            </w:pPr>
            <w:r>
              <w:t>尼泊尔</w:t>
            </w:r>
          </w:p>
        </w:tc>
        <w:tc>
          <w:tcPr>
            <w:tcW w:w="596" w:type="dxa"/>
            <w:tcBorders>
              <w:top w:val="single" w:sz="4" w:space="0" w:color="000000"/>
              <w:left w:val="single" w:sz="4" w:space="0" w:color="000000"/>
              <w:right w:val="single" w:sz="4" w:space="0" w:color="000000"/>
            </w:tcBorders>
            <w:vAlign w:val="center"/>
          </w:tcPr>
          <w:p>
            <w:pPr>
              <w:pStyle w:val="127"/>
              <w:jc w:val="center"/>
              <w:rPr>
                <w:rFonts w:ascii="Times New Roman" w:cs="Times New Roman" w:hAnsi="Times New Roman"/>
                <w:color w:val="000000"/>
                <w:sz w:val="22"/>
                <w:szCs w:val="22"/>
              </w:rPr>
            </w:pPr>
            <w:r>
              <w:rPr>
                <w:rFonts w:ascii="Times New Roman" w:cs="Times New Roman" w:hAnsi="Times New Roman"/>
                <w:color w:val="000000"/>
                <w:sz w:val="22"/>
                <w:szCs w:val="22"/>
              </w:rPr>
              <w:t>42</w:t>
            </w:r>
          </w:p>
        </w:tc>
        <w:tc>
          <w:tcPr>
            <w:tcW w:w="12193" w:type="dxa"/>
            <w:vAlign w:val="center"/>
          </w:tcPr>
          <w:p>
            <w:pPr>
              <w:jc w:val="left"/>
              <w:rPr>
                <w:rFonts w:ascii="宋体" w:cs="宋体"/>
                <w:sz w:val="22"/>
              </w:rPr>
            </w:pPr>
            <w:r>
              <w:rPr>
                <w:rFonts w:ascii="宋体" w:cs="宋体"/>
                <w:sz w:val="22"/>
              </w:rPr>
              <w:t>鱼饲料的拟定标准。本内容规定了根据尼泊尔2033饲料法案发布的鱼饲料质量标准。它定义的范围为涵盖为鱼饲养而生产和包装的所有类型的鱼饲料。鱼饲料被描述为由加工、半加工或原料制成的配制产品，所述原料被研磨、混合、调节或烹饪、干燥，并以颗粒、碎屑或粉末等形式制备，以满足鱼的营养需求并增强其生长、健康、繁殖和生产力。标准要求鱼饲料必须清洁、安全，没有霉菌、害虫和污染。它列出了允许的原材料，如谷物、油籽饼、鱼粉、骨粉、植物性成分和矿物质补充剂。禁止任何外来有机或无机物的存在。营养补充剂和饲料添加剂可用于改善或保持质量；但鱼饲料中严禁使用抗生素和尿素。</w:t>
            </w:r>
          </w:p>
        </w:tc>
      </w:tr>
      <w:tr>
        <w:trPr>
          <w:trHeight w:val="571"/>
        </w:trPr>
        <w:tc>
          <w:tcPr>
            <w:tcW w:w="1382" w:type="dxa"/>
            <w:vMerge w:val="restart"/>
            <w:tcBorders>
              <w:tl2br w:val="nil"/>
              <w:tr2bl w:val="nil"/>
            </w:tcBorders>
            <w:vAlign w:val="center"/>
          </w:tcPr>
          <w:p>
            <w:pPr>
              <w:pStyle w:val="246"/>
              <w:jc w:val="center"/>
              <w:textAlignment w:val="center"/>
            </w:pPr>
            <w:r>
              <w:t>欧盟</w:t>
            </w:r>
          </w:p>
        </w:tc>
        <w:tc>
          <w:tcPr>
            <w:tcW w:w="596" w:type="dxa"/>
            <w:tcBorders>
              <w:top w:val="single" w:sz="4" w:space="0" w:color="000000"/>
              <w:left w:val="single" w:sz="4" w:space="0" w:color="000000"/>
              <w:right w:val="single" w:sz="4" w:space="0" w:color="000000"/>
            </w:tcBorders>
            <w:vAlign w:val="center"/>
          </w:tcPr>
          <w:p>
            <w:pPr>
              <w:pStyle w:val="128"/>
              <w:jc w:val="center"/>
              <w:rPr>
                <w:rFonts w:ascii="Times New Roman" w:cs="Times New Roman" w:hAnsi="Times New Roman"/>
                <w:color w:val="000000"/>
                <w:sz w:val="22"/>
                <w:szCs w:val="22"/>
              </w:rPr>
            </w:pPr>
            <w:r>
              <w:rPr>
                <w:rFonts w:ascii="Times New Roman" w:cs="Times New Roman" w:hAnsi="Times New Roman"/>
                <w:color w:val="000000"/>
                <w:sz w:val="22"/>
                <w:szCs w:val="22"/>
              </w:rPr>
              <w:t>43</w:t>
            </w:r>
          </w:p>
        </w:tc>
        <w:tc>
          <w:tcPr>
            <w:tcW w:w="12193" w:type="dxa"/>
            <w:vAlign w:val="center"/>
          </w:tcPr>
          <w:p>
            <w:pPr>
              <w:jc w:val="left"/>
              <w:rPr>
                <w:rFonts w:ascii="宋体" w:cs="宋体"/>
                <w:sz w:val="22"/>
              </w:rPr>
            </w:pPr>
            <w:r>
              <w:rPr>
                <w:rFonts w:ascii="宋体" w:cs="宋体" w:hint="eastAsia"/>
                <w:sz w:val="22"/>
              </w:rPr>
              <w:t>XXX委员会条例草案(EU)修订欧洲议会和理事会第1907/2006号(EC)条例附件十七，涉及混合物和物品中作为一种物质、其他物质的成分的氢化三联苯</w:t>
            </w:r>
            <w:r>
              <w:rPr>
                <w:rFonts w:ascii="宋体" w:cs="宋体"/>
                <w:sz w:val="22"/>
              </w:rPr>
              <w:t>。</w:t>
            </w:r>
            <w:r>
              <w:rPr>
                <w:rFonts w:ascii="宋体" w:cs="宋体" w:hint="eastAsia"/>
                <w:sz w:val="22"/>
              </w:rPr>
              <w:t>本法规草案拟在（EC）第1907/2006号法规附件XVII中新增一个条目。其目的是限制氢化三联苯的使用及其在市场上的投放，无论是作为其本身的物质单独存在，还是作为其他物质的成分存在于混合物、物品或其任何部件中，且其重量浓度大于0.1%时。拟议的永久性豁免包括：（i）在工业场所用作250°C至350°C温度范围内的传热流体，且这些场所已实施严格受控的封闭系统以防止氢化三联苯排放的使用情形</w:t>
            </w:r>
            <w:r>
              <w:rPr>
                <w:rFonts w:ascii="宋体" w:cs="宋体"/>
                <w:sz w:val="22"/>
              </w:rPr>
              <w:t>；</w:t>
            </w:r>
            <w:r>
              <w:rPr>
                <w:rFonts w:ascii="宋体" w:cs="宋体" w:hint="eastAsia"/>
                <w:sz w:val="22"/>
              </w:rPr>
              <w:t>（ii）国防应用领域。该法规草案的实施推迟18个月生效，但民用航空航天应用领域除外，针对该领域拟议了10年的过渡期。</w:t>
            </w:r>
          </w:p>
        </w:tc>
      </w:tr>
      <w:tr>
        <w:trPr>
          <w:trHeight w:val="104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29"/>
              <w:jc w:val="center"/>
              <w:rPr>
                <w:rFonts w:ascii="Times New Roman" w:cs="Times New Roman" w:hAnsi="Times New Roman"/>
                <w:color w:val="000000"/>
                <w:sz w:val="22"/>
                <w:szCs w:val="22"/>
              </w:rPr>
            </w:pPr>
            <w:r>
              <w:rPr>
                <w:rFonts w:ascii="Times New Roman" w:cs="Times New Roman" w:hAnsi="Times New Roman"/>
                <w:color w:val="000000"/>
                <w:sz w:val="22"/>
                <w:szCs w:val="22"/>
              </w:rPr>
              <w:t>44</w:t>
            </w:r>
          </w:p>
        </w:tc>
        <w:tc>
          <w:tcPr>
            <w:tcW w:w="12193" w:type="dxa"/>
            <w:vAlign w:val="center"/>
          </w:tcPr>
          <w:p>
            <w:pPr>
              <w:jc w:val="left"/>
              <w:rPr>
                <w:rFonts w:ascii="宋体" w:cs="宋体"/>
                <w:sz w:val="22"/>
              </w:rPr>
            </w:pPr>
            <w:r>
              <w:rPr>
                <w:rFonts w:ascii="宋体" w:cs="宋体"/>
                <w:sz w:val="22"/>
              </w:rPr>
              <w:t>欧盟委员会授权法规草案，对欧洲议会和理事会关于便携式电池可拆卸性和可更换性豁免的 (EU) 2023/1542 号法规进行补充。该欧盟委员会授权法规草案旨在将新增产品类别纳入《电池法规》第11条第(2)款现有清单中，针对这些类别的产品，其便携式电池只需能够由独立操作者进行拆卸和更换即可。</w:t>
            </w:r>
          </w:p>
        </w:tc>
      </w:tr>
      <w:tr>
        <w:trPr>
          <w:trHeight w:val="606"/>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0"/>
              <w:jc w:val="center"/>
              <w:rPr>
                <w:rFonts w:ascii="Times New Roman" w:cs="Times New Roman" w:hAnsi="Times New Roman"/>
                <w:color w:val="000000"/>
                <w:sz w:val="22"/>
                <w:szCs w:val="22"/>
              </w:rPr>
            </w:pPr>
            <w:r>
              <w:rPr>
                <w:rFonts w:ascii="Times New Roman" w:cs="Times New Roman" w:hAnsi="Times New Roman"/>
                <w:color w:val="000000"/>
                <w:sz w:val="22"/>
                <w:szCs w:val="22"/>
              </w:rPr>
              <w:t>45</w:t>
            </w:r>
          </w:p>
        </w:tc>
        <w:tc>
          <w:tcPr>
            <w:tcW w:w="12193" w:type="dxa"/>
            <w:vAlign w:val="center"/>
          </w:tcPr>
          <w:p>
            <w:pPr>
              <w:jc w:val="left"/>
              <w:rPr>
                <w:rFonts w:ascii="宋体" w:cs="宋体"/>
                <w:sz w:val="22"/>
              </w:rPr>
            </w:pPr>
            <w:r>
              <w:rPr>
                <w:rFonts w:ascii="宋体" w:cs="宋体" w:hint="eastAsia"/>
                <w:sz w:val="22"/>
              </w:rPr>
              <w:t>(EU)委员会授权条例草案修订了关于酵母发酵加工助剂的理事会指令2001/112/EC</w:t>
            </w:r>
            <w:r>
              <w:rPr>
                <w:rFonts w:ascii="宋体" w:cs="宋体"/>
                <w:sz w:val="22"/>
              </w:rPr>
              <w:t>。</w:t>
            </w:r>
            <w:r>
              <w:rPr>
                <w:rFonts w:ascii="宋体" w:cs="宋体" w:hint="eastAsia"/>
                <w:sz w:val="22"/>
              </w:rPr>
              <w:t>本委员会授权法规草案修订了理事会指令2001/112/EC，以允许使用酵母发酵加工助剂生产可根据欧洲议会和理事会2024年5月14日修订指令(EU)2024/1438销售的低糖果汁产品</w:t>
            </w:r>
            <w:r>
              <w:rPr>
                <w:rFonts w:ascii="宋体" w:cs="宋体"/>
                <w:sz w:val="22"/>
              </w:rPr>
              <w:t>。</w:t>
            </w:r>
          </w:p>
        </w:tc>
      </w:tr>
      <w:tr>
        <w:trPr>
          <w:trHeight w:val="67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1"/>
              <w:jc w:val="center"/>
              <w:rPr>
                <w:rFonts w:ascii="Times New Roman" w:cs="Times New Roman" w:hAnsi="Times New Roman"/>
                <w:color w:val="000000"/>
                <w:sz w:val="22"/>
                <w:szCs w:val="22"/>
              </w:rPr>
            </w:pPr>
            <w:r>
              <w:rPr>
                <w:rFonts w:ascii="Times New Roman" w:cs="Times New Roman" w:hAnsi="Times New Roman"/>
                <w:color w:val="000000"/>
                <w:sz w:val="22"/>
                <w:szCs w:val="22"/>
              </w:rPr>
              <w:t>46</w:t>
            </w:r>
          </w:p>
        </w:tc>
        <w:tc>
          <w:tcPr>
            <w:tcW w:w="12193" w:type="dxa"/>
            <w:vAlign w:val="center"/>
          </w:tcPr>
          <w:p>
            <w:pPr>
              <w:jc w:val="left"/>
              <w:rPr>
                <w:rFonts w:ascii="宋体" w:cs="宋体"/>
                <w:sz w:val="22"/>
              </w:rPr>
            </w:pPr>
            <w:r>
              <w:rPr>
                <w:rFonts w:ascii="宋体" w:cs="宋体"/>
                <w:sz w:val="22"/>
              </w:rPr>
              <w:t>(EU)委员会授权条例草案，修订(EU)授权条例2022/2104，补充欧洲议会和理事会关于橄榄油营销标准的第1308/2013号(EU)条例。该法案引入了一项关于Koroneiki或Nocellara del Belice品种的单一品种橄榄油标签的新条款，并修订了(EU)授权条例2022/2104关于这些品种化学参数总甾醇含量的附件一。</w:t>
            </w:r>
          </w:p>
        </w:tc>
      </w:tr>
      <w:tr>
        <w:trPr>
          <w:trHeight w:val="808"/>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2"/>
              <w:jc w:val="center"/>
              <w:rPr>
                <w:rFonts w:ascii="Times New Roman" w:cs="Times New Roman" w:hAnsi="Times New Roman"/>
                <w:color w:val="000000"/>
                <w:sz w:val="22"/>
                <w:szCs w:val="22"/>
              </w:rPr>
            </w:pPr>
            <w:r>
              <w:rPr>
                <w:rFonts w:ascii="Times New Roman" w:cs="Times New Roman" w:hAnsi="Times New Roman"/>
                <w:color w:val="000000"/>
                <w:sz w:val="22"/>
                <w:szCs w:val="22"/>
              </w:rPr>
              <w:t>47</w:t>
            </w:r>
          </w:p>
        </w:tc>
        <w:tc>
          <w:tcPr>
            <w:tcW w:w="12193" w:type="dxa"/>
            <w:vAlign w:val="center"/>
          </w:tcPr>
          <w:p>
            <w:pPr>
              <w:jc w:val="left"/>
              <w:rPr>
                <w:rFonts w:ascii="宋体" w:cs="宋体"/>
                <w:sz w:val="22"/>
              </w:rPr>
            </w:pPr>
            <w:r>
              <w:rPr>
                <w:rFonts w:ascii="宋体" w:cs="宋体"/>
                <w:sz w:val="22"/>
              </w:rPr>
              <w:t>关于欧盟委员会实施条例的提案，该条例规定了根据欧洲议会和理事会第2024/1781号(EU)条例建立的数字产品护照登记处的实施安排。作为可持续产品生态设计法规（ESPR）的一部分，推出了数字产品护照，以方便访问与产品可持续性、循环性和法律合规性相关的数字信息。该计划将为数字产品护照注册建立实施安排。它将规定登记处的主要组成部分，并在数字产品护照登记处、国家主管当局和海关当局以及委员会的框架内，规定将产品投放市场或投入服务的经济运营商以及其他价值链参与者（如但不限于数字产品护照服务提供商、授权代表、维修商、翻新商、再制造商、回收商）的技术和运营角色和义务。此外，它将建立一个日志系统，记录和监测在登记册中进行的业务和互动，以确保对所有用户的问责，并界定登记册的维护、运作和安全的责任。</w:t>
            </w:r>
          </w:p>
        </w:tc>
      </w:tr>
      <w:tr>
        <w:trPr>
          <w:trHeight w:val="66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4</w:t>
            </w:r>
            <w:r>
              <w:rPr>
                <w:rFonts w:ascii="Times New Roman" w:cs="Times New Roman" w:hAnsi="Times New Roman"/>
                <w:color w:val="000000"/>
                <w:sz w:val="22"/>
                <w:szCs w:val="22"/>
              </w:rPr>
              <w:t>8</w:t>
            </w:r>
          </w:p>
        </w:tc>
        <w:tc>
          <w:tcPr>
            <w:tcW w:w="12193" w:type="dxa"/>
            <w:vAlign w:val="center"/>
          </w:tcPr>
          <w:p>
            <w:pPr>
              <w:rPr>
                <w:rFonts w:ascii="宋体" w:cs="宋体" w:hint="eastAsia"/>
                <w:sz w:val="22"/>
              </w:rPr>
            </w:pPr>
            <w:r>
              <w:rPr>
                <w:rFonts w:ascii="宋体" w:cs="宋体" w:hint="eastAsia"/>
                <w:sz w:val="22"/>
              </w:rPr>
              <w:t>(EU)委员会授权条例草案修订了关于酵母发酵加工助剂的理事会指令2001/112/EC</w:t>
            </w:r>
            <w:r>
              <w:rPr>
                <w:rFonts w:ascii="宋体" w:cs="宋体"/>
                <w:sz w:val="22"/>
              </w:rPr>
              <w:t>.</w:t>
            </w:r>
            <w:r>
              <w:rPr>
                <w:rFonts w:ascii="宋体" w:cs="宋体" w:hint="eastAsia"/>
                <w:sz w:val="22"/>
              </w:rPr>
              <w:t>本委员会授权法规草案修订了理事会指令2001/112/EC，以允许使用酵母发酵加工助剂生产可根据欧洲议会和理事会2024年5月14日修订指令(EU)2024/1438销售的低糖果汁产品</w:t>
            </w:r>
            <w:r>
              <w:rPr>
                <w:rFonts w:ascii="宋体" w:cs="宋体"/>
                <w:sz w:val="22"/>
              </w:rPr>
              <w:t>。</w:t>
            </w:r>
          </w:p>
        </w:tc>
      </w:tr>
      <w:tr>
        <w:trPr>
          <w:trHeight w:val="62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4"/>
              <w:jc w:val="center"/>
              <w:rPr>
                <w:rFonts w:ascii="Times New Roman" w:cs="Times New Roman" w:hAnsi="Times New Roman"/>
                <w:color w:val="000000"/>
                <w:sz w:val="22"/>
                <w:szCs w:val="22"/>
              </w:rPr>
            </w:pPr>
            <w:r>
              <w:rPr>
                <w:rFonts w:ascii="Times New Roman" w:cs="Times New Roman" w:hAnsi="Times New Roman"/>
                <w:color w:val="000000"/>
                <w:sz w:val="22"/>
                <w:szCs w:val="22"/>
              </w:rPr>
              <w:t>49</w:t>
            </w:r>
          </w:p>
        </w:tc>
        <w:tc>
          <w:tcPr>
            <w:tcW w:w="12193" w:type="dxa"/>
            <w:vAlign w:val="center"/>
          </w:tcPr>
          <w:p>
            <w:pPr>
              <w:pStyle w:val="173"/>
              <w:rPr>
                <w:rFonts w:ascii="宋体" w:cs="宋体"/>
                <w:sz w:val="22"/>
              </w:rPr>
            </w:pPr>
            <w:r>
              <w:rPr>
                <w:rFonts w:ascii="宋体" w:cs="宋体"/>
                <w:sz w:val="22"/>
              </w:rPr>
              <w:t>委员会实施法规，规定了适用(EU)法规2024/1257关于M1和N1类机动车制动颗粒排放的规则、程序、测试方法和管理要求。 该实施法规草案根据(EU)法规2024/1257（欧7）对M1和N1车辆的制动颗粒排放制定了全面的要求，纳入了关于轻型车辆制动排放实验室测量的联合国法规第179号。</w:t>
            </w:r>
          </w:p>
        </w:tc>
      </w:tr>
      <w:tr>
        <w:trPr>
          <w:trHeight w:val="30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0</w:t>
            </w:r>
          </w:p>
        </w:tc>
        <w:tc>
          <w:tcPr>
            <w:tcW w:w="12193" w:type="dxa"/>
            <w:vAlign w:val="center"/>
          </w:tcPr>
          <w:p>
            <w:pPr>
              <w:pStyle w:val="174"/>
              <w:jc w:val="left"/>
              <w:rPr>
                <w:rFonts w:ascii="宋体" w:cs="宋体"/>
                <w:sz w:val="22"/>
              </w:rPr>
            </w:pPr>
            <w:r>
              <w:rPr>
                <w:rFonts w:ascii="宋体" w:cs="宋体"/>
                <w:sz w:val="22"/>
              </w:rPr>
              <w:t>委员会实施条例修订了(EU)实施条例2025/1706，涉及具体方法、要求和测试，以及有关车载电池耐久性、电动汽车低温续航里程和电动汽车系统功率的管理要求。该草案根据(EU)法规2024/1257（欧7）制定了车载电池耐久性、电动汽车低温续航里程和系统功率确定的实施措施。它纳入了联合国欧洲经委会最新的全球统一标准，特别是联合国第154号法规（04系列修正案）和联合国第83号法规（09系列修正案），以确保对M1和N1类车辆进行稳健且具有现实代表性的测试。草案介绍了型式认可的具体方法和测试要求，包括车载电池的生命周期耐久性测试、低温下的电动续航里程验证以及多电机电动汽车的系统功率确定。</w:t>
            </w:r>
          </w:p>
        </w:tc>
      </w:tr>
      <w:tr>
        <w:trPr>
          <w:trHeight w:val="274"/>
        </w:trPr>
        <w:tc>
          <w:tcPr>
            <w:tcW w:w="1382" w:type="dxa"/>
            <w:tcBorders>
              <w:tl2br w:val="nil"/>
              <w:tr2bl w:val="nil"/>
            </w:tcBorders>
            <w:vAlign w:val="center"/>
          </w:tcPr>
          <w:p>
            <w:pPr>
              <w:pStyle w:val="223"/>
              <w:jc w:val="center"/>
              <w:textAlignment w:val="center"/>
            </w:pPr>
            <w:r>
              <w:t>土耳其</w:t>
            </w:r>
          </w:p>
        </w:tc>
        <w:tc>
          <w:tcPr>
            <w:tcW w:w="596" w:type="dxa"/>
            <w:tcBorders>
              <w:top w:val="single" w:sz="4" w:space="0" w:color="000000"/>
              <w:left w:val="single" w:sz="4" w:space="0" w:color="000000"/>
              <w:right w:val="single" w:sz="4" w:space="0" w:color="000000"/>
            </w:tcBorders>
            <w:vAlign w:val="center"/>
          </w:tcPr>
          <w:p>
            <w:pPr>
              <w:pStyle w:val="13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1</w:t>
            </w:r>
          </w:p>
        </w:tc>
        <w:tc>
          <w:tcPr>
            <w:tcW w:w="12193" w:type="dxa"/>
            <w:vAlign w:val="center"/>
          </w:tcPr>
          <w:p>
            <w:pPr>
              <w:pStyle w:val="64"/>
              <w:jc w:val="left"/>
              <w:rPr>
                <w:rFonts w:ascii="宋体" w:cs="宋体"/>
                <w:sz w:val="22"/>
              </w:rPr>
            </w:pPr>
            <w:r>
              <w:rPr>
                <w:rFonts w:ascii="宋体" w:cs="宋体"/>
                <w:sz w:val="22"/>
              </w:rPr>
              <w:t>土耳其食品法典委员会关于限制在与食品接触的某些材料和物品中使用双酚A、其他有害双酚、双酚衍生物的公报。本公报的目的是为双酚A（BPA）及其盐类，以及用于生产与食品接触的某些材料和物品的其他有害双酚和双酚衍生物制定具体规则。</w:t>
            </w:r>
          </w:p>
        </w:tc>
      </w:tr>
      <w:tr>
        <w:trPr>
          <w:trHeight w:val="447"/>
        </w:trPr>
        <w:tc>
          <w:tcPr>
            <w:tcW w:w="1382" w:type="dxa"/>
            <w:vMerge w:val="restart"/>
            <w:tcBorders>
              <w:tl2br w:val="nil"/>
              <w:tr2bl w:val="nil"/>
            </w:tcBorders>
            <w:vAlign w:val="center"/>
          </w:tcPr>
          <w:p>
            <w:pPr>
              <w:pStyle w:val="235"/>
              <w:jc w:val="center"/>
            </w:pPr>
            <w:r>
              <w:t>日本</w:t>
            </w:r>
          </w:p>
        </w:tc>
        <w:tc>
          <w:tcPr>
            <w:tcW w:w="596" w:type="dxa"/>
            <w:tcBorders>
              <w:top w:val="single" w:sz="4" w:space="0" w:color="000000"/>
              <w:left w:val="single" w:sz="4" w:space="0" w:color="000000"/>
              <w:right w:val="single" w:sz="4" w:space="0" w:color="000000"/>
            </w:tcBorders>
            <w:vAlign w:val="center"/>
          </w:tcPr>
          <w:p>
            <w:pPr>
              <w:pStyle w:val="137"/>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2</w:t>
            </w:r>
          </w:p>
        </w:tc>
        <w:tc>
          <w:tcPr>
            <w:tcW w:w="12193" w:type="dxa"/>
            <w:vAlign w:val="center"/>
          </w:tcPr>
          <w:p>
            <w:pPr>
              <w:jc w:val="left"/>
              <w:rPr>
                <w:rFonts w:ascii="宋体" w:cs="宋体"/>
                <w:sz w:val="22"/>
              </w:rPr>
            </w:pPr>
            <w:r>
              <w:rPr>
                <w:rFonts w:ascii="宋体" w:cs="宋体"/>
                <w:sz w:val="22"/>
              </w:rPr>
              <w:t>食品卫生法案下食品、食品添加剂等规范的标准的修订（农业化学品残留标准修订）。下列农用化学品的最大残留限量提案：农药：喹氯胺。</w:t>
            </w:r>
          </w:p>
        </w:tc>
      </w:tr>
      <w:tr>
        <w:trPr>
          <w:trHeight w:val="586"/>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8"/>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3</w:t>
            </w:r>
          </w:p>
        </w:tc>
        <w:tc>
          <w:tcPr>
            <w:tcW w:w="12193" w:type="dxa"/>
            <w:vAlign w:val="center"/>
          </w:tcPr>
          <w:p>
            <w:pPr>
              <w:pStyle w:val="176"/>
              <w:jc w:val="left"/>
              <w:rPr>
                <w:rFonts w:ascii="宋体" w:cs="宋体"/>
                <w:sz w:val="22"/>
              </w:rPr>
            </w:pPr>
            <w:r>
              <w:rPr>
                <w:rFonts w:ascii="宋体" w:cs="宋体"/>
                <w:sz w:val="22"/>
              </w:rPr>
              <w:t>食品卫生法案下食品、食品添加剂等规范和标准的修订（农业化学品残留标准修订）。下列农用化学品的最大残留限量提案：农药：丙霉威。</w:t>
            </w:r>
          </w:p>
        </w:tc>
      </w:tr>
      <w:tr>
        <w:trPr>
          <w:trHeight w:val="530"/>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39"/>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4</w:t>
            </w:r>
          </w:p>
        </w:tc>
        <w:tc>
          <w:tcPr>
            <w:tcW w:w="12193" w:type="dxa"/>
            <w:vAlign w:val="center"/>
          </w:tcPr>
          <w:p>
            <w:pPr>
              <w:jc w:val="left"/>
              <w:rPr>
                <w:rFonts w:ascii="宋体" w:cs="宋体"/>
                <w:sz w:val="22"/>
              </w:rPr>
            </w:pPr>
            <w:r>
              <w:rPr>
                <w:rFonts w:ascii="宋体" w:cs="宋体"/>
                <w:sz w:val="22"/>
              </w:rPr>
              <w:t>食品卫生法案下食品、食品添加剂等规范和标准的修订（农业化学品的残留标准修订）。下列农用化学品的最大残留限量提案：农药：螺吡酮。</w:t>
            </w:r>
          </w:p>
        </w:tc>
      </w:tr>
      <w:tr>
        <w:trPr>
          <w:trHeight w:val="687"/>
        </w:trPr>
        <w:tc>
          <w:tcPr>
            <w:tcW w:w="1382" w:type="dxa"/>
            <w:vMerge w:val="restart"/>
            <w:tcBorders>
              <w:tl2br w:val="nil"/>
              <w:tr2bl w:val="nil"/>
            </w:tcBorders>
            <w:vAlign w:val="center"/>
          </w:tcPr>
          <w:p>
            <w:pPr>
              <w:pStyle w:val="249"/>
              <w:jc w:val="center"/>
            </w:pPr>
            <w:r>
              <w:t>乌干达</w:t>
            </w:r>
          </w:p>
        </w:tc>
        <w:tc>
          <w:tcPr>
            <w:tcW w:w="596" w:type="dxa"/>
            <w:tcBorders>
              <w:top w:val="single" w:sz="4" w:space="0" w:color="000000"/>
              <w:left w:val="single" w:sz="4" w:space="0" w:color="000000"/>
              <w:right w:val="single" w:sz="4" w:space="0" w:color="000000"/>
            </w:tcBorders>
            <w:vAlign w:val="center"/>
          </w:tcPr>
          <w:p>
            <w:pPr>
              <w:pStyle w:val="140"/>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5</w:t>
            </w:r>
          </w:p>
        </w:tc>
        <w:tc>
          <w:tcPr>
            <w:tcW w:w="12193" w:type="dxa"/>
            <w:vAlign w:val="center"/>
          </w:tcPr>
          <w:p>
            <w:pPr>
              <w:pStyle w:val="247"/>
              <w:jc w:val="left"/>
              <w:rPr>
                <w:rFonts w:ascii="宋体" w:cs="宋体"/>
                <w:sz w:val="22"/>
              </w:rPr>
            </w:pPr>
            <w:r>
              <w:rPr>
                <w:rFonts w:ascii="宋体" w:cs="宋体"/>
                <w:sz w:val="22"/>
              </w:rPr>
              <w:t>DARS 1540：2025，化妆品润唇膏（润唇膏）规范，第一版。本标准草案规定了以石油或植物油为基础的润唇膏（唇部软膏）的要求、取样和试验方法。本标准不涵盖具有治疗功效声明的润唇膏、唇膏、唇彩及乳化型产品。</w:t>
            </w:r>
          </w:p>
        </w:tc>
      </w:tr>
      <w:tr>
        <w:trPr>
          <w:trHeight w:val="100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1"/>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6</w:t>
            </w:r>
          </w:p>
        </w:tc>
        <w:tc>
          <w:tcPr>
            <w:tcW w:w="12193" w:type="dxa"/>
            <w:vAlign w:val="center"/>
          </w:tcPr>
          <w:p>
            <w:pPr>
              <w:jc w:val="left"/>
              <w:rPr>
                <w:rFonts w:ascii="宋体" w:cs="宋体" w:hint="eastAsia"/>
                <w:sz w:val="22"/>
              </w:rPr>
            </w:pPr>
            <w:r>
              <w:rPr>
                <w:rFonts w:ascii="宋体" w:cs="宋体"/>
                <w:sz w:val="22"/>
              </w:rPr>
              <w:t>DARS 2177：2026，建筑涂料实践规范，第一版。该标准给出了建筑物内部和外部初始油漆和维护油漆的良好实践建议，例如住宅、办公室、轻工业建筑、学校、医院、酒店和一般公共建筑，其中装饰是一个重要且通常是主要因素。该规范考虑到了保护许多建筑材料免受天气或通常遇到的其他形式的攻击的需要。</w:t>
            </w:r>
          </w:p>
        </w:tc>
      </w:tr>
      <w:tr>
        <w:trPr>
          <w:trHeight w:val="5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2"/>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7</w:t>
            </w:r>
          </w:p>
        </w:tc>
        <w:tc>
          <w:tcPr>
            <w:tcW w:w="12193" w:type="dxa"/>
            <w:vAlign w:val="center"/>
          </w:tcPr>
          <w:p>
            <w:pPr>
              <w:jc w:val="left"/>
              <w:rPr>
                <w:rFonts w:ascii="宋体" w:cs="宋体" w:hint="eastAsia"/>
                <w:sz w:val="22"/>
              </w:rPr>
            </w:pPr>
            <w:r>
              <w:rPr>
                <w:rFonts w:ascii="宋体" w:cs="宋体" w:hint="eastAsia"/>
                <w:sz w:val="22"/>
              </w:rPr>
              <w:t>DARS 2178:2026，《室内外用溶剂型光泽漆规范》，第一版</w:t>
            </w:r>
            <w:r>
              <w:rPr>
                <w:rFonts w:ascii="宋体" w:cs="宋体"/>
                <w:sz w:val="22"/>
              </w:rPr>
              <w:t>。</w:t>
            </w:r>
            <w:r>
              <w:rPr>
                <w:rFonts w:ascii="宋体" w:cs="宋体" w:hint="eastAsia"/>
                <w:sz w:val="22"/>
              </w:rPr>
              <w:t>本标准草案规定了室内外用溶剂型光泽漆的要求、取样和试验方法。本标准不适用于汽车、道路标线和工业用漆。</w:t>
            </w:r>
          </w:p>
        </w:tc>
      </w:tr>
      <w:tr>
        <w:trPr>
          <w:trHeight w:val="541"/>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3"/>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5</w:t>
            </w:r>
            <w:r>
              <w:rPr>
                <w:rFonts w:ascii="Times New Roman" w:cs="Times New Roman" w:hAnsi="Times New Roman"/>
                <w:color w:val="000000"/>
                <w:sz w:val="22"/>
                <w:szCs w:val="22"/>
              </w:rPr>
              <w:t>8</w:t>
            </w:r>
          </w:p>
        </w:tc>
        <w:tc>
          <w:tcPr>
            <w:tcW w:w="12193" w:type="dxa"/>
            <w:vAlign w:val="center"/>
          </w:tcPr>
          <w:p>
            <w:pPr>
              <w:jc w:val="left"/>
              <w:rPr>
                <w:rFonts w:ascii="宋体" w:cs="宋体"/>
                <w:sz w:val="22"/>
              </w:rPr>
            </w:pPr>
            <w:r>
              <w:rPr>
                <w:rFonts w:ascii="宋体" w:cs="宋体"/>
                <w:sz w:val="22"/>
              </w:rPr>
              <w:t>DUS 33：2026，食用冰和冰混合物规范，第四版。该标准草案规定了可供人类食用的液体或粉末或干燥形式的食用冰和冰混合物的要求、取样和测试方法。</w:t>
            </w:r>
          </w:p>
        </w:tc>
      </w:tr>
      <w:tr>
        <w:trPr>
          <w:trHeight w:val="651"/>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4"/>
              <w:jc w:val="center"/>
              <w:rPr>
                <w:rFonts w:ascii="Times New Roman" w:cs="Times New Roman" w:hAnsi="Times New Roman"/>
                <w:color w:val="000000"/>
                <w:sz w:val="22"/>
                <w:szCs w:val="22"/>
              </w:rPr>
            </w:pPr>
            <w:r>
              <w:rPr>
                <w:rFonts w:ascii="Times New Roman" w:cs="Times New Roman" w:hAnsi="Times New Roman"/>
                <w:color w:val="000000"/>
                <w:sz w:val="22"/>
                <w:szCs w:val="22"/>
              </w:rPr>
              <w:t>59</w:t>
            </w:r>
          </w:p>
        </w:tc>
        <w:tc>
          <w:tcPr>
            <w:tcW w:w="12193" w:type="dxa"/>
            <w:vAlign w:val="center"/>
          </w:tcPr>
          <w:p>
            <w:pPr>
              <w:jc w:val="left"/>
              <w:rPr>
                <w:rFonts w:ascii="宋体" w:cs="宋体"/>
                <w:sz w:val="22"/>
              </w:rPr>
            </w:pPr>
            <w:r>
              <w:rPr>
                <w:rFonts w:ascii="宋体" w:cs="宋体" w:hint="eastAsia"/>
                <w:sz w:val="22"/>
              </w:rPr>
              <w:t>DARS 2180:2026，《室内外半光（蛋壳光）溶剂型漆规范》，第一版</w:t>
            </w:r>
            <w:r>
              <w:rPr>
                <w:rFonts w:ascii="宋体" w:cs="宋体"/>
                <w:sz w:val="22"/>
              </w:rPr>
              <w:t>。</w:t>
            </w:r>
            <w:r>
              <w:rPr>
                <w:rFonts w:ascii="宋体" w:cs="宋体" w:hint="eastAsia"/>
                <w:sz w:val="22"/>
              </w:rPr>
              <w:t>本标准草案规定了室内外用半光（蛋壳光）溶剂型漆的要求、取样和试验方法。本标准不适用于汽车、道路标线和工业用途。</w:t>
            </w:r>
          </w:p>
        </w:tc>
      </w:tr>
      <w:tr>
        <w:trPr>
          <w:trHeight w:val="613"/>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5"/>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0</w:t>
            </w:r>
          </w:p>
        </w:tc>
        <w:tc>
          <w:tcPr>
            <w:tcW w:w="12193" w:type="dxa"/>
            <w:vAlign w:val="center"/>
          </w:tcPr>
          <w:p>
            <w:r>
              <w:rPr>
                <w:rFonts w:hint="eastAsia"/>
              </w:rPr>
              <w:t>DARS 2179:2026，《道路标线漆规范》，第一版</w:t>
            </w:r>
            <w:r>
              <w:t>。</w:t>
            </w:r>
            <w:r>
              <w:rPr>
                <w:rFonts w:hint="eastAsia"/>
              </w:rPr>
              <w:t>本标准草案规定了用于沥青或混凝土表面标线的溶剂型和水性道路标线漆的要求、取样和试验方法。本标准对白色、黄色和黑色作出了规定。</w:t>
            </w:r>
          </w:p>
        </w:tc>
      </w:tr>
      <w:tr>
        <w:trPr>
          <w:trHeight w:val="689"/>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6"/>
              <w:jc w:val="center"/>
              <w:rPr>
                <w:rFonts w:ascii="Times New Roman" w:cs="Times New Roman" w:hAnsi="Times New Roman"/>
                <w:color w:val="000000"/>
                <w:sz w:val="22"/>
                <w:szCs w:val="22"/>
              </w:rPr>
            </w:pPr>
            <w:r>
              <w:rPr>
                <w:rFonts w:ascii="Times New Roman" w:cs="Times New Roman" w:hAnsi="Times New Roman" w:hint="eastAsia"/>
                <w:color w:val="000000"/>
                <w:sz w:val="22"/>
                <w:szCs w:val="22"/>
              </w:rPr>
              <w:t>6</w:t>
            </w:r>
            <w:r>
              <w:rPr>
                <w:rFonts w:ascii="Times New Roman" w:cs="Times New Roman" w:hAnsi="Times New Roman"/>
                <w:color w:val="000000"/>
                <w:sz w:val="22"/>
                <w:szCs w:val="22"/>
              </w:rPr>
              <w:t>1</w:t>
            </w:r>
          </w:p>
        </w:tc>
        <w:tc>
          <w:tcPr>
            <w:tcW w:w="12193" w:type="dxa"/>
            <w:vAlign w:val="center"/>
          </w:tcPr>
          <w:p>
            <w:pPr>
              <w:jc w:val="left"/>
              <w:rPr>
                <w:rFonts w:ascii="宋体" w:cs="宋体"/>
                <w:sz w:val="22"/>
              </w:rPr>
            </w:pPr>
            <w:r>
              <w:rPr>
                <w:rFonts w:ascii="宋体" w:cs="宋体"/>
                <w:sz w:val="22"/>
              </w:rPr>
              <w:t>DARS 1539：2025，化妆品唇彩（光泽）规范，第一版。本标准草案规定了基于精炼植物油或矿物油的唇彩（唇蜜）的要求、取样和试验方法。本标准不涵盖具有治疗功效声明的唇彩（唇蜜）。本标准也不适用于唇膏和润唇膏。</w:t>
            </w:r>
          </w:p>
        </w:tc>
      </w:tr>
      <w:tr>
        <w:trPr>
          <w:trHeight w:val="525"/>
        </w:trPr>
        <w:tc>
          <w:tcPr>
            <w:tcW w:w="1382" w:type="dxa"/>
            <w:tcBorders>
              <w:tl2br w:val="nil"/>
              <w:tr2bl w:val="nil"/>
            </w:tcBorders>
            <w:vAlign w:val="center"/>
          </w:tcPr>
          <w:p>
            <w:pPr>
              <w:pStyle w:val="237"/>
              <w:jc w:val="center"/>
            </w:pPr>
            <w:r>
              <w:t>新西兰</w:t>
            </w:r>
          </w:p>
        </w:tc>
        <w:tc>
          <w:tcPr>
            <w:tcW w:w="596" w:type="dxa"/>
            <w:tcBorders>
              <w:top w:val="single" w:sz="4" w:space="0" w:color="000000"/>
              <w:left w:val="single" w:sz="4" w:space="0" w:color="000000"/>
              <w:right w:val="single" w:sz="4" w:space="0" w:color="000000"/>
            </w:tcBorders>
            <w:vAlign w:val="center"/>
          </w:tcPr>
          <w:p>
            <w:pPr>
              <w:pStyle w:val="147"/>
              <w:jc w:val="center"/>
              <w:rPr>
                <w:rFonts w:ascii="Times New Roman" w:cs="Times New Roman" w:hAnsi="Times New Roman"/>
                <w:color w:val="000000"/>
                <w:sz w:val="22"/>
                <w:szCs w:val="22"/>
              </w:rPr>
            </w:pPr>
            <w:r>
              <w:rPr>
                <w:rFonts w:ascii="Times New Roman" w:cs="Times New Roman" w:hAnsi="Times New Roman"/>
                <w:color w:val="000000"/>
                <w:sz w:val="22"/>
                <w:szCs w:val="22"/>
              </w:rPr>
              <w:t>62</w:t>
            </w:r>
          </w:p>
        </w:tc>
        <w:tc>
          <w:tcPr>
            <w:tcW w:w="12193" w:type="dxa"/>
            <w:vAlign w:val="center"/>
          </w:tcPr>
          <w:p>
            <w:pPr>
              <w:pStyle w:val="185"/>
              <w:jc w:val="left"/>
              <w:rPr>
                <w:rFonts w:ascii="宋体" w:cs="宋体"/>
                <w:sz w:val="22"/>
              </w:rPr>
            </w:pPr>
            <w:r>
              <w:rPr>
                <w:rFonts w:ascii="宋体" w:cs="宋体" w:hint="eastAsia"/>
                <w:sz w:val="22"/>
              </w:rPr>
              <w:t>重新评估申请批准–APP204919：重新评估联苯菊酯及含联苯菊酯物质的申请</w:t>
            </w:r>
            <w:r>
              <w:rPr>
                <w:rFonts w:ascii="宋体" w:cs="宋体"/>
                <w:sz w:val="22"/>
              </w:rPr>
              <w:t>。</w:t>
            </w:r>
            <w:r>
              <w:rPr>
                <w:rFonts w:ascii="宋体" w:cs="宋体" w:hint="eastAsia"/>
                <w:sz w:val="22"/>
              </w:rPr>
              <w:t>美国环保署提议对含联苯菊酯物质的批准进行修改。建议审查根据1996年《危险物质和新生物体法》对联苯菊酯和含联苯菊酯物质的进口和制造放行的批准，并改变适用于其使用的限制。环境保护局提议禁止使用广泛分散的方法施用联苯菊酯，但出于生物安全目的使用这些物质除外，在这种情况下，需要环境保护局的许可。当这些物质以广泛分散的施用方法施用时，对环境，特别是与暴露相关的水生环境存在不可忽视的风险。因此，环境保护局建议禁止这些应用方法，并从决定之日起有6个月的淘汰期。建议对含联苯菊酯物质的使用施加额外限制，以管理联苯菊酯的风险，这种风险在通过有针对性的现场喷洒施用该物质时可能出现。</w:t>
            </w:r>
          </w:p>
        </w:tc>
      </w:tr>
      <w:tr>
        <w:trPr>
          <w:trHeight w:val="925"/>
        </w:trPr>
        <w:tc>
          <w:tcPr>
            <w:tcW w:w="1382" w:type="dxa"/>
            <w:vMerge w:val="restart"/>
            <w:tcBorders>
              <w:tl2br w:val="nil"/>
              <w:tr2bl w:val="nil"/>
            </w:tcBorders>
            <w:vAlign w:val="center"/>
          </w:tcPr>
          <w:p>
            <w:pPr>
              <w:pStyle w:val="250"/>
              <w:jc w:val="center"/>
            </w:pPr>
            <w:r>
              <w:t>牙买加</w:t>
            </w:r>
          </w:p>
        </w:tc>
        <w:tc>
          <w:tcPr>
            <w:tcW w:w="596" w:type="dxa"/>
            <w:tcBorders>
              <w:top w:val="single" w:sz="4" w:space="0" w:color="000000"/>
              <w:left w:val="single" w:sz="4" w:space="0" w:color="000000"/>
              <w:right w:val="single" w:sz="4" w:space="0" w:color="000000"/>
            </w:tcBorders>
            <w:vAlign w:val="center"/>
          </w:tcPr>
          <w:p>
            <w:pPr>
              <w:pStyle w:val="148"/>
              <w:jc w:val="center"/>
              <w:rPr>
                <w:rFonts w:ascii="Times New Roman" w:cs="Times New Roman" w:hAnsi="Times New Roman"/>
                <w:color w:val="000000"/>
                <w:sz w:val="22"/>
                <w:szCs w:val="22"/>
              </w:rPr>
            </w:pPr>
            <w:r>
              <w:rPr>
                <w:rFonts w:ascii="Times New Roman" w:cs="Times New Roman" w:hAnsi="Times New Roman"/>
                <w:color w:val="000000"/>
                <w:sz w:val="22"/>
                <w:szCs w:val="22"/>
              </w:rPr>
              <w:t>63</w:t>
            </w:r>
          </w:p>
        </w:tc>
        <w:tc>
          <w:tcPr>
            <w:tcW w:w="12193" w:type="dxa"/>
            <w:vAlign w:val="center"/>
          </w:tcPr>
          <w:p>
            <w:pPr>
              <w:pStyle w:val="186"/>
              <w:jc w:val="left"/>
              <w:rPr>
                <w:rFonts w:ascii="宋体" w:cs="宋体"/>
                <w:sz w:val="22"/>
              </w:rPr>
            </w:pPr>
            <w:r>
              <w:rPr>
                <w:rFonts w:ascii="宋体" w:cs="宋体"/>
                <w:sz w:val="22"/>
              </w:rPr>
              <w:t>牙买加伏特加标准规范。本标准规定了伏特加（包括风味伏特加）的特性、标签、包装、要求和取样方法。它为生产过程提供了指导，并对终产品中的重金属及其他相关成分参数设定了最高限量。本标准还概述了适用于龙舌兰酒的微生物准则，以确保产品的安全性和质量。</w:t>
            </w:r>
          </w:p>
        </w:tc>
      </w:tr>
      <w:tr>
        <w:trPr>
          <w:trHeight w:val="709"/>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49"/>
              <w:jc w:val="center"/>
              <w:rPr>
                <w:rFonts w:ascii="Times New Roman" w:cs="Times New Roman" w:hAnsi="Times New Roman"/>
                <w:color w:val="000000"/>
                <w:sz w:val="22"/>
                <w:szCs w:val="22"/>
              </w:rPr>
            </w:pPr>
            <w:r>
              <w:rPr>
                <w:rFonts w:ascii="Times New Roman" w:cs="Times New Roman" w:hAnsi="Times New Roman"/>
                <w:color w:val="000000"/>
                <w:sz w:val="22"/>
                <w:szCs w:val="22"/>
              </w:rPr>
              <w:t>64</w:t>
            </w:r>
          </w:p>
        </w:tc>
        <w:tc>
          <w:tcPr>
            <w:tcW w:w="12193" w:type="dxa"/>
            <w:vAlign w:val="center"/>
          </w:tcPr>
          <w:p>
            <w:pPr>
              <w:pStyle w:val="187"/>
              <w:jc w:val="left"/>
              <w:rPr>
                <w:rFonts w:ascii="宋体" w:cs="宋体"/>
                <w:sz w:val="22"/>
              </w:rPr>
            </w:pPr>
            <w:r>
              <w:rPr>
                <w:rFonts w:ascii="宋体" w:cs="宋体"/>
                <w:sz w:val="22"/>
              </w:rPr>
              <w:t>牙买加威士忌标准规范。本标准规定了供人饮用的威士忌的特性、标签、包装和取样要求。内容包括基于生产方法和原料的类型标识和分类规定。本标准还规定了重金属限量，并概述了成分和质量要求，以确保产品的安全性和一致性。</w:t>
            </w:r>
          </w:p>
        </w:tc>
      </w:tr>
      <w:tr>
        <w:trPr>
          <w:trHeight w:val="61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0"/>
              <w:jc w:val="center"/>
              <w:rPr>
                <w:rFonts w:ascii="Times New Roman" w:cs="Times New Roman" w:hAnsi="Times New Roman"/>
                <w:color w:val="000000"/>
                <w:sz w:val="22"/>
                <w:szCs w:val="22"/>
              </w:rPr>
            </w:pPr>
            <w:r>
              <w:rPr>
                <w:rFonts w:ascii="Times New Roman" w:cs="Times New Roman" w:hAnsi="Times New Roman"/>
                <w:color w:val="000000"/>
                <w:sz w:val="22"/>
                <w:szCs w:val="22"/>
              </w:rPr>
              <w:t>65</w:t>
            </w:r>
          </w:p>
        </w:tc>
        <w:tc>
          <w:tcPr>
            <w:tcW w:w="12193" w:type="dxa"/>
            <w:vAlign w:val="center"/>
          </w:tcPr>
          <w:p>
            <w:pPr>
              <w:pStyle w:val="188"/>
              <w:jc w:val="left"/>
              <w:rPr>
                <w:rFonts w:ascii="宋体" w:cs="宋体"/>
                <w:sz w:val="22"/>
              </w:rPr>
            </w:pPr>
            <w:r>
              <w:rPr>
                <w:rFonts w:ascii="宋体" w:cs="宋体"/>
                <w:sz w:val="22"/>
              </w:rPr>
              <w:t>牙买加龙舌兰酒标准规范。本标准规定了龙舌兰酒的要求和取样方法。它为生产过程提供指导，并确定最终产品中重金属和其他相关成分参数的最高限值。该标准还概述了适用于龙舌兰酒的微生物标准，以确保产品安全和质量。</w:t>
            </w:r>
          </w:p>
        </w:tc>
      </w:tr>
      <w:tr>
        <w:trPr>
          <w:trHeight w:val="101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1"/>
              <w:jc w:val="center"/>
              <w:rPr>
                <w:rFonts w:ascii="Times New Roman" w:cs="Times New Roman" w:hAnsi="Times New Roman"/>
                <w:color w:val="000000"/>
                <w:sz w:val="22"/>
                <w:szCs w:val="22"/>
              </w:rPr>
            </w:pPr>
            <w:r>
              <w:rPr>
                <w:rFonts w:ascii="Times New Roman" w:cs="Times New Roman" w:hAnsi="Times New Roman"/>
                <w:color w:val="000000"/>
                <w:sz w:val="22"/>
                <w:szCs w:val="22"/>
              </w:rPr>
              <w:t>66</w:t>
            </w:r>
          </w:p>
        </w:tc>
        <w:tc>
          <w:tcPr>
            <w:tcW w:w="12193" w:type="dxa"/>
            <w:vAlign w:val="center"/>
          </w:tcPr>
          <w:p>
            <w:pPr>
              <w:pStyle w:val="190"/>
              <w:jc w:val="left"/>
              <w:rPr>
                <w:rFonts w:ascii="宋体" w:cs="宋体"/>
                <w:sz w:val="22"/>
              </w:rPr>
            </w:pPr>
            <w:r>
              <w:rPr>
                <w:rFonts w:ascii="宋体" w:cs="宋体"/>
                <w:sz w:val="22"/>
              </w:rPr>
              <w:t>牙买加标准规格葡萄酒。本标准规定了葡萄酒的要求，并详细说明了葡萄酒的标签、生产工艺及特性。它为生产过程提供了指导，并对终产品中的重金属及其他相关成分参数设定了最高限量。本标准还概述了适用于龙舌兰酒的微生物准则，以确保产品的安全性和质量。</w:t>
            </w:r>
          </w:p>
        </w:tc>
      </w:tr>
      <w:tr>
        <w:trPr>
          <w:trHeight w:val="743"/>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2"/>
              <w:jc w:val="center"/>
              <w:rPr>
                <w:rFonts w:ascii="Times New Roman" w:cs="Times New Roman" w:hAnsi="Times New Roman"/>
                <w:color w:val="000000"/>
                <w:sz w:val="22"/>
                <w:szCs w:val="22"/>
              </w:rPr>
            </w:pPr>
            <w:r>
              <w:rPr>
                <w:rFonts w:ascii="Times New Roman" w:cs="Times New Roman" w:hAnsi="Times New Roman"/>
                <w:color w:val="000000"/>
                <w:sz w:val="22"/>
                <w:szCs w:val="22"/>
              </w:rPr>
              <w:t>67</w:t>
            </w:r>
          </w:p>
        </w:tc>
        <w:tc>
          <w:tcPr>
            <w:tcW w:w="12193" w:type="dxa"/>
            <w:vAlign w:val="center"/>
          </w:tcPr>
          <w:p>
            <w:pPr>
              <w:pStyle w:val="191"/>
              <w:jc w:val="left"/>
              <w:rPr>
                <w:rFonts w:ascii="宋体" w:cs="宋体"/>
                <w:sz w:val="22"/>
              </w:rPr>
            </w:pPr>
            <w:r>
              <w:rPr>
                <w:rFonts w:ascii="宋体" w:cs="宋体" w:hint="eastAsia"/>
                <w:sz w:val="22"/>
              </w:rPr>
              <w:t>牙买加酿造产品标准规范</w:t>
            </w:r>
            <w:r>
              <w:rPr>
                <w:rFonts w:ascii="宋体" w:cs="宋体"/>
                <w:sz w:val="22"/>
              </w:rPr>
              <w:t>。</w:t>
            </w:r>
            <w:r>
              <w:rPr>
                <w:rFonts w:ascii="宋体" w:cs="宋体" w:hint="eastAsia"/>
                <w:sz w:val="22"/>
              </w:rPr>
              <w:t>标准规定了在该地区销售或交易的酿造产品的要求。它不适用于非源自谷物并以通用名称销售的饮料，包括“啤酒”和“麦芽酒”。例如姜汁啤酒、姜汁汽水、根汁汽水不在标准范围内。</w:t>
            </w:r>
          </w:p>
        </w:tc>
      </w:tr>
      <w:tr>
        <w:trPr>
          <w:trHeight w:val="654"/>
        </w:trPr>
        <w:tc>
          <w:tcPr>
            <w:tcW w:w="1383"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3"/>
              <w:jc w:val="center"/>
              <w:rPr>
                <w:rFonts w:ascii="Times New Roman" w:cs="Times New Roman" w:hAnsi="Times New Roman"/>
                <w:color w:val="000000"/>
                <w:sz w:val="22"/>
                <w:szCs w:val="22"/>
              </w:rPr>
            </w:pPr>
            <w:r>
              <w:rPr>
                <w:rFonts w:ascii="Times New Roman" w:cs="Times New Roman" w:hAnsi="Times New Roman"/>
                <w:color w:val="000000"/>
                <w:sz w:val="22"/>
                <w:szCs w:val="22"/>
              </w:rPr>
              <w:t>68</w:t>
            </w:r>
          </w:p>
        </w:tc>
        <w:tc>
          <w:tcPr>
            <w:tcW w:w="12193" w:type="dxa"/>
            <w:vAlign w:val="center"/>
          </w:tcPr>
          <w:p>
            <w:pPr>
              <w:pStyle w:val="192"/>
              <w:jc w:val="left"/>
              <w:rPr>
                <w:rFonts w:ascii="宋体" w:cs="宋体"/>
                <w:sz w:val="22"/>
              </w:rPr>
            </w:pPr>
            <w:r>
              <w:rPr>
                <w:rFonts w:ascii="宋体" w:cs="宋体"/>
                <w:sz w:val="22"/>
              </w:rPr>
              <w:t>预包装食品标签技术法规。该技术法规规定了管理预包装食品标签、其进口、生产和牙买加境内贸易的规则。该技术法规规定了以下内容：a.预包装食品的标签要求；b.产品标签要求：水果和蔬菜汁和饮料以及水果花蜜酿酒产品。</w:t>
            </w:r>
          </w:p>
        </w:tc>
      </w:tr>
      <w:tr>
        <w:trPr>
          <w:trHeight w:val="53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69</w:t>
            </w:r>
          </w:p>
        </w:tc>
        <w:tc>
          <w:tcPr>
            <w:tcW w:w="12193" w:type="dxa"/>
            <w:vAlign w:val="center"/>
          </w:tcPr>
          <w:p>
            <w:pPr>
              <w:jc w:val="left"/>
              <w:rPr>
                <w:rFonts w:ascii="宋体" w:cs="宋体"/>
                <w:sz w:val="22"/>
              </w:rPr>
            </w:pPr>
            <w:r>
              <w:rPr>
                <w:rFonts w:ascii="宋体" w:cs="宋体"/>
                <w:sz w:val="22"/>
              </w:rPr>
              <w:t>预包装货物标签技术法规。该技术法规规定了管理预包装货物标签、其进口、生产和牙买加境内贸易的规则。拟议的技术法规旨在提供范围、应用、术语和定义、一般、具体产品标签要求和管理规定。</w:t>
            </w:r>
          </w:p>
        </w:tc>
      </w:tr>
      <w:tr>
        <w:trPr>
          <w:trHeight w:val="368"/>
        </w:trPr>
        <w:tc>
          <w:tcPr>
            <w:tcW w:w="1382" w:type="dxa"/>
            <w:vMerge w:val="restart"/>
            <w:tcBorders>
              <w:tl2br w:val="nil"/>
              <w:tr2bl w:val="nil"/>
            </w:tcBorders>
            <w:vAlign w:val="center"/>
          </w:tcPr>
          <w:p>
            <w:pPr>
              <w:pStyle w:val="253"/>
              <w:jc w:val="center"/>
            </w:pPr>
            <w:r>
              <w:t>印度</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70</w:t>
            </w:r>
          </w:p>
        </w:tc>
        <w:tc>
          <w:tcPr>
            <w:tcW w:w="12193" w:type="dxa"/>
            <w:vAlign w:val="center"/>
          </w:tcPr>
          <w:p>
            <w:pPr>
              <w:jc w:val="left"/>
              <w:rPr>
                <w:rFonts w:ascii="宋体" w:cs="宋体"/>
                <w:sz w:val="22"/>
              </w:rPr>
            </w:pPr>
            <w:r>
              <w:rPr>
                <w:rFonts w:ascii="宋体" w:cs="宋体" w:hint="eastAsia"/>
                <w:sz w:val="22"/>
              </w:rPr>
              <w:t>“局域网电缆”基本要求（ER）新标准的通报</w:t>
            </w:r>
            <w:r>
              <w:rPr>
                <w:rFonts w:ascii="宋体" w:cs="宋体"/>
                <w:sz w:val="22"/>
              </w:rPr>
              <w:t>。</w:t>
            </w:r>
            <w:r>
              <w:rPr>
                <w:rFonts w:ascii="宋体" w:cs="宋体" w:hint="eastAsia"/>
                <w:sz w:val="22"/>
              </w:rPr>
              <w:t>标准草案是用于合格评定的“局域网电缆”的基本要求标准。</w:t>
            </w:r>
          </w:p>
        </w:tc>
      </w:tr>
      <w:tr>
        <w:trPr>
          <w:trHeight w:val="341"/>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71</w:t>
            </w:r>
          </w:p>
        </w:tc>
        <w:tc>
          <w:tcPr>
            <w:tcW w:w="12193" w:type="dxa"/>
            <w:vAlign w:val="center"/>
          </w:tcPr>
          <w:p>
            <w:pPr>
              <w:jc w:val="left"/>
              <w:rPr>
                <w:rFonts w:ascii="宋体" w:cs="宋体"/>
                <w:sz w:val="22"/>
              </w:rPr>
            </w:pPr>
            <w:r>
              <w:rPr>
                <w:rFonts w:ascii="宋体" w:cs="宋体"/>
                <w:sz w:val="22"/>
              </w:rPr>
              <w:t>2026年食品安全和标准（包装）修订条例草案。2026年食品安全和标准（包装）修订条例草案涉及在条例中纳入额外的定义。</w:t>
            </w:r>
          </w:p>
        </w:tc>
      </w:tr>
      <w:tr>
        <w:trPr>
          <w:trHeight w:val="2485"/>
        </w:trPr>
        <w:tc>
          <w:tcPr>
            <w:tcW w:w="1382" w:type="dxa"/>
            <w:vMerge w:val="restart"/>
            <w:tcBorders>
              <w:tl2br w:val="nil"/>
              <w:tr2bl w:val="nil"/>
            </w:tcBorders>
            <w:vAlign w:val="center"/>
          </w:tcPr>
          <w:p>
            <w:pPr>
              <w:pStyle w:val="254"/>
              <w:jc w:val="center"/>
            </w:pPr>
            <w:r>
              <w:t>英国</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72</w:t>
            </w:r>
          </w:p>
        </w:tc>
        <w:tc>
          <w:tcPr>
            <w:tcW w:w="12193" w:type="dxa"/>
            <w:vAlign w:val="center"/>
          </w:tcPr>
          <w:p>
            <w:pPr>
              <w:jc w:val="left"/>
              <w:rPr>
                <w:rFonts w:ascii="宋体" w:cs="宋体"/>
                <w:sz w:val="22"/>
              </w:rPr>
            </w:pPr>
            <w:r>
              <w:rPr>
                <w:rFonts w:ascii="宋体" w:cs="宋体"/>
                <w:sz w:val="22"/>
              </w:rPr>
              <w:t>2026年医疗器械（修订）条例。这些措施将修订适用于英国（GB）的2002年医疗器械法规。该修订旨在更新制造商在将其设备投放英国市场之前必须满足的上市前要求。这将有助于提高患者安全，通过简化的、基于风险的监管途径和国际依赖途径更快地获得医疗设备，并通过使法规现代化来支持创新，使其更接近国际最佳实践。主要变化包括：引入国际信赖计划，为某些医疗器械和体外诊断（IVD）器械提供更快的上市途径。一般医疗器械和IVD器械的分类变更，以实现更多风险相称的监管。增强医疗器械和IVD器械的安全性和性能要求，支持与国际监管方法更加一致。更全面的技术文件要求，包括更长的保留期。加强了对医疗器械声称与现有器械等效的要求。要求医疗器械和IVD器械强制使用唯一器械标识符以及植入式医疗器械的植入卡，提高了可追溯性、管理不良事件的能力和患者的透明度。监管关于医疗器械和IVD器械的误导性或未经证实的声明。扩大可以采用电子使用说明代替物理说明的情况。</w:t>
            </w:r>
          </w:p>
        </w:tc>
      </w:tr>
      <w:tr>
        <w:trPr>
          <w:trHeight w:val="75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73</w:t>
            </w:r>
          </w:p>
        </w:tc>
        <w:tc>
          <w:tcPr>
            <w:tcW w:w="12193" w:type="dxa"/>
            <w:vAlign w:val="center"/>
          </w:tcPr>
          <w:p>
            <w:pPr>
              <w:jc w:val="left"/>
              <w:rPr>
                <w:rFonts w:ascii="宋体" w:cs="宋体"/>
                <w:sz w:val="22"/>
              </w:rPr>
            </w:pPr>
            <w:r>
              <w:rPr>
                <w:rFonts w:ascii="宋体" w:cs="宋体"/>
                <w:sz w:val="22"/>
              </w:rPr>
              <w:t>关于撤销活性物质美帕尼匹林在GB的批准的决定。根据第1107/2009号同化法规，得出结论认为应撤销活性物质美帕尼匹林的批准的决定文件。英国将撤销对含有甲哌啶的植物保护产品的授权。该决定仅涉及将该物质和含有该物质的植物保护产品投放市场。</w:t>
            </w:r>
          </w:p>
        </w:tc>
      </w:tr>
      <w:tr>
        <w:trPr>
          <w:trHeight w:val="1237"/>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74</w:t>
            </w:r>
          </w:p>
        </w:tc>
        <w:tc>
          <w:tcPr>
            <w:tcW w:w="12193" w:type="dxa"/>
            <w:vAlign w:val="center"/>
          </w:tcPr>
          <w:p>
            <w:pPr>
              <w:jc w:val="left"/>
              <w:rPr>
                <w:rFonts w:ascii="宋体" w:cs="宋体"/>
                <w:sz w:val="22"/>
              </w:rPr>
            </w:pPr>
            <w:r>
              <w:rPr>
                <w:rFonts w:ascii="宋体" w:cs="宋体" w:hint="eastAsia"/>
                <w:sz w:val="22"/>
              </w:rPr>
              <w:t>《2026年化学品（健康与安全）（修订、相应和过渡规定）条例》</w:t>
            </w:r>
            <w:r>
              <w:rPr>
                <w:rFonts w:ascii="宋体" w:cs="宋体"/>
                <w:sz w:val="22"/>
              </w:rPr>
              <w:t>。</w:t>
            </w:r>
            <w:r>
              <w:rPr>
                <w:rFonts w:ascii="宋体" w:cs="宋体" w:hint="eastAsia"/>
                <w:sz w:val="22"/>
              </w:rPr>
              <w:t>出于透明度的目的，英国通知成员对“针对英国修订的(EC)第1272/2008号同化法规”（英国分类、标签和包装法规或GB CLP法规）的拟议变更。拟议的变更旨在简化就英国危险化学物质强制分类和标签（GB MCL）做出决定的流程（第37条流程）。利益相关者无需采取任何行动，评估内容也不会发生变化。</w:t>
            </w:r>
          </w:p>
        </w:tc>
      </w:tr>
      <w:tr>
        <w:trPr>
          <w:trHeight w:val="1237"/>
        </w:trPr>
        <w:tc>
          <w:tcPr>
            <w:tcW w:w="1382" w:type="dxa"/>
            <w:vMerge w:val="restart"/>
            <w:tcBorders>
              <w:tl2br w:val="nil"/>
              <w:tr2bl w:val="nil"/>
            </w:tcBorders>
            <w:vAlign w:val="center"/>
          </w:tcPr>
          <w:p>
            <w:pPr>
              <w:pStyle w:val="255"/>
              <w:jc w:val="center"/>
            </w:pPr>
            <w:r>
              <w:t>越南</w:t>
            </w: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75</w:t>
            </w:r>
          </w:p>
        </w:tc>
        <w:tc>
          <w:tcPr>
            <w:tcW w:w="12193" w:type="dxa"/>
            <w:vAlign w:val="center"/>
          </w:tcPr>
          <w:p>
            <w:pPr>
              <w:jc w:val="left"/>
              <w:rPr>
                <w:rFonts w:ascii="宋体" w:cs="宋体"/>
                <w:sz w:val="22"/>
              </w:rPr>
            </w:pPr>
            <w:r>
              <w:rPr>
                <w:rFonts w:ascii="宋体" w:cs="宋体"/>
                <w:sz w:val="22"/>
              </w:rPr>
              <w:t>国家在用道路机动车定期检验技术法规草案。本技术法规草案规定了机动车检验的技术要求。具体来说，对于摩托车和轻便摩托车。该法规仅涵盖排放测试。本技术规程适用于从事机动车技术安全和环境保护检验以及参与道路交通的摩托车、轻便摩托车排放检测的机构、组织、个人。本技术规程不适用于机动车辆的技术安全环保检验或国防部、公安部管理的摩托车、轻便摩托车的排放检测。</w:t>
            </w:r>
          </w:p>
        </w:tc>
      </w:tr>
      <w:tr>
        <w:trPr>
          <w:trHeight w:val="942"/>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76</w:t>
            </w:r>
          </w:p>
        </w:tc>
        <w:tc>
          <w:tcPr>
            <w:tcW w:w="12193" w:type="dxa"/>
            <w:vAlign w:val="center"/>
          </w:tcPr>
          <w:p>
            <w:pPr>
              <w:jc w:val="left"/>
              <w:rPr>
                <w:rFonts w:ascii="宋体" w:cs="宋体"/>
                <w:sz w:val="22"/>
              </w:rPr>
            </w:pPr>
            <w:r>
              <w:rPr>
                <w:rFonts w:ascii="宋体" w:cs="宋体"/>
                <w:sz w:val="22"/>
              </w:rPr>
              <w:t>起草《关于颁布工贸部国家管理责任中高风险产品和货物清单的通知》。该通告规范了工业和贸易部国家管理责任下的中高风险产品和货物清单。因此，中等风险产品和货物的清单包括07组，具体地：1)薄纸和卫生纸；2)化学品和含化学品产品；3)工业炸药；4)烈性炸药；5)工业爆炸配件；6)工业机械、设备和材料；7)爆炸物前体。</w:t>
            </w:r>
          </w:p>
        </w:tc>
      </w:tr>
      <w:tr>
        <w:trPr>
          <w:trHeight w:val="1505"/>
        </w:trPr>
        <w:tc>
          <w:tcPr>
            <w:tcW w:w="1382" w:type="dxa"/>
            <w:vMerge/>
            <w:tcBorders>
              <w:tl2br w:val="nil"/>
              <w:tr2bl w:val="nil"/>
            </w:tcBorders>
            <w:vAlign w:val="center"/>
          </w:tcPr>
          <w:p/>
        </w:tc>
        <w:tc>
          <w:tcPr>
            <w:tcW w:w="596" w:type="dxa"/>
            <w:tcBorders>
              <w:top w:val="single" w:sz="4" w:space="0" w:color="000000"/>
              <w:left w:val="single" w:sz="4" w:space="0" w:color="000000"/>
              <w:right w:val="single" w:sz="4" w:space="0" w:color="000000"/>
            </w:tcBorders>
            <w:vAlign w:val="center"/>
          </w:tcPr>
          <w:p>
            <w:pPr>
              <w:pStyle w:val="154"/>
              <w:jc w:val="center"/>
              <w:rPr>
                <w:rFonts w:ascii="Times New Roman" w:cs="Times New Roman" w:hAnsi="Times New Roman"/>
                <w:color w:val="000000"/>
                <w:sz w:val="22"/>
                <w:szCs w:val="22"/>
              </w:rPr>
            </w:pPr>
            <w:r>
              <w:rPr>
                <w:rFonts w:ascii="Times New Roman" w:cs="Times New Roman" w:hAnsi="Times New Roman"/>
                <w:color w:val="000000"/>
                <w:sz w:val="22"/>
                <w:szCs w:val="22"/>
              </w:rPr>
              <w:t>77</w:t>
            </w:r>
          </w:p>
        </w:tc>
        <w:tc>
          <w:tcPr>
            <w:tcW w:w="12193" w:type="dxa"/>
            <w:vAlign w:val="center"/>
          </w:tcPr>
          <w:p>
            <w:pPr>
              <w:jc w:val="left"/>
              <w:rPr>
                <w:rFonts w:ascii="宋体" w:cs="宋体"/>
                <w:sz w:val="22"/>
              </w:rPr>
            </w:pPr>
            <w:r>
              <w:rPr>
                <w:rFonts w:ascii="宋体" w:cs="宋体"/>
                <w:sz w:val="22"/>
              </w:rPr>
              <w:t>颁布内政部管理的中高风险产品和货物清单的通知草案。这份通告草案颁布了内政部国家管理责任的中高风险等级产品和货物清单以及清单上产品和货物的相应质量管理措施。中高风险等级产品和货物清单、相应的HS编码和适用的国家技术标准详见本通知草案附录。通知草案分为两类风险：中等风险和高风险。本通知草案适用于：生产、经营本通知规定的中高风险产品和货物清单的组织和个人。对属于本通知规定的中高风险等级产品和货物清单的产品和货物进行合格评定活动的合格评定机构。其他相关机构、组织和个人。</w:t>
            </w:r>
          </w:p>
        </w:tc>
      </w:tr>
      <w:tr>
        <w:trPr>
          <w:trHeight w:val="778"/>
        </w:trPr>
        <w:tc>
          <w:tcPr>
            <w:tcW w:w="1382" w:type="dxa"/>
            <w:tcBorders>
              <w:tl2br w:val="nil"/>
              <w:tr2bl w:val="nil"/>
            </w:tcBorders>
            <w:vAlign w:val="center"/>
          </w:tcPr>
          <w:p>
            <w:pPr>
              <w:pStyle w:val="226"/>
              <w:jc w:val="center"/>
            </w:pPr>
            <w:r>
              <w:t>智利</w:t>
            </w:r>
          </w:p>
        </w:tc>
        <w:tc>
          <w:tcPr>
            <w:tcW w:w="596" w:type="dxa"/>
            <w:tcBorders>
              <w:top w:val="single" w:sz="4" w:space="0" w:color="000000"/>
              <w:left w:val="single" w:sz="4" w:space="0" w:color="000000"/>
              <w:right w:val="single" w:sz="4" w:space="0" w:color="000000"/>
            </w:tcBorders>
            <w:vAlign w:val="center"/>
          </w:tcPr>
          <w:p>
            <w:pPr>
              <w:pStyle w:val="154"/>
              <w:jc w:val="center"/>
              <w:rPr>
                <w:rFonts w:ascii="宋体" w:cs="宋体"/>
                <w:sz w:val="22"/>
              </w:rPr>
            </w:pPr>
            <w:r>
              <w:rPr>
                <w:rFonts w:ascii="宋体" w:cs="宋体"/>
                <w:sz w:val="22"/>
              </w:rPr>
              <w:t>78</w:t>
            </w:r>
          </w:p>
        </w:tc>
        <w:tc>
          <w:tcPr>
            <w:tcW w:w="12193" w:type="dxa"/>
            <w:vAlign w:val="center"/>
          </w:tcPr>
          <w:p>
            <w:pPr>
              <w:rPr>
                <w:rFonts w:ascii="宋体" w:cs="宋体"/>
                <w:sz w:val="22"/>
              </w:rPr>
            </w:pPr>
            <w:r>
              <w:rPr>
                <w:rFonts w:ascii="宋体" w:cs="宋体"/>
                <w:sz w:val="22"/>
              </w:rPr>
              <w:t>制药用水：健康登记指南和口服抗生素要求。公共卫生研究所发布的指南规定了制药用水卫生注册的最新要求，并定义了口服抗生素的新要求。该文件旨在避免因家庭复溶不足而导致的中毒、污染和治疗效果失败的风险，要求任何新的口服粉末或颗粒抗生素注册申请将必要的溶剂作为组合注册。同样，它对不同类型的水进行了分类，并根据国家和国际法规详细说明了其质量标准和使用目的。</w:t>
            </w:r>
          </w:p>
        </w:tc>
      </w:tr>
    </w:tbl>
    <w:p>
      <w:pPr>
        <w:autoSpaceDN w:val="0"/>
        <w:adjustRightInd w:val="0"/>
        <w:snapToGrid w:val="0"/>
        <w:spacing w:line="560" w:lineRule="exact"/>
        <w:ind w:firstLineChars="265" w:firstLine="848"/>
        <w:rPr>
          <w:rFonts w:ascii="方正仿宋_GBK" w:eastAsia="方正仿宋_GBK" w:cs="Times New Roman"/>
          <w:sz w:val="32"/>
          <w:szCs w:val="32"/>
        </w:rPr>
      </w:pPr>
      <w:r>
        <w:rPr>
          <w:rStyle w:val="19Char"/>
          <w:rFonts w:ascii="方正仿宋_GBK" w:eastAsia="方正仿宋_GBK" w:cs="方正仿宋_GBK" w:hint="eastAsia"/>
          <w:kern w:val="0"/>
          <w:sz w:val="32"/>
          <w:szCs w:val="32"/>
        </w:rPr>
        <w:t>感谢关注武汉海关的技术性贸易措施工作！后期，我们将持续收集和更新</w:t>
      </w:r>
      <w:r>
        <w:rPr>
          <w:rFonts w:ascii="方正仿宋_GBK" w:eastAsia="方正仿宋_GBK" w:cs="方正仿宋_GBK" w:hint="eastAsia"/>
          <w:sz w:val="32"/>
          <w:szCs w:val="32"/>
        </w:rPr>
        <w:t>各国（地区）技术性贸易措施</w:t>
      </w:r>
      <w:r>
        <w:rPr>
          <w:rStyle w:val="19Char"/>
          <w:rFonts w:ascii="方正仿宋_GBK" w:eastAsia="方正仿宋_GBK" w:cs="方正仿宋_GBK" w:hint="eastAsia"/>
          <w:kern w:val="0"/>
          <w:sz w:val="32"/>
          <w:szCs w:val="32"/>
        </w:rPr>
        <w:t>，</w:t>
      </w:r>
      <w:r>
        <w:rPr>
          <w:rFonts w:ascii="方正仿宋_GBK" w:eastAsia="方正仿宋_GBK" w:cs="方正仿宋_GBK" w:hint="eastAsia"/>
          <w:sz w:val="32"/>
          <w:szCs w:val="32"/>
        </w:rPr>
        <w:t>根据需要及时向社会公布</w:t>
      </w:r>
      <w:r>
        <w:rPr>
          <w:rStyle w:val="19Char"/>
          <w:rFonts w:ascii="方正仿宋_GBK" w:eastAsia="方正仿宋_GBK" w:cs="方正仿宋_GBK" w:hint="eastAsia"/>
          <w:kern w:val="0"/>
          <w:sz w:val="32"/>
          <w:szCs w:val="32"/>
        </w:rPr>
        <w:t>，优化营商环境，</w:t>
      </w:r>
      <w:r>
        <w:rPr>
          <w:rFonts w:ascii="方正仿宋_GBK" w:eastAsia="方正仿宋_GBK" w:cs="方正仿宋_GBK" w:hint="eastAsia"/>
          <w:sz w:val="32"/>
          <w:szCs w:val="32"/>
        </w:rPr>
        <w:t>做好稳外贸稳外资工作，服务外贸企业，帮助企业有效应对，降低技术性贸易措施带来的影响和损失。</w:t>
      </w:r>
    </w:p>
    <w:p>
      <w:pPr>
        <w:pStyle w:val="20"/>
        <w:ind w:firstLineChars="200" w:firstLine="640"/>
        <w:jc w:val="center"/>
        <w:rPr>
          <w:rFonts w:ascii="方正仿宋_GBK" w:eastAsia="方正仿宋_GBK" w:cs="Times New Roman"/>
          <w:sz w:val="32"/>
          <w:szCs w:val="32"/>
        </w:rPr>
      </w:pPr>
      <w:r>
        <w:rPr>
          <w:rFonts w:ascii="方正仿宋_GBK" w:eastAsia="方正仿宋_GBK" w:cs="方正仿宋_GBK" w:hint="eastAsia"/>
          <w:sz w:val="32"/>
          <w:szCs w:val="32"/>
        </w:rPr>
        <w:t xml:space="preserve">                                                               武汉海关</w:t>
      </w:r>
    </w:p>
    <w:p>
      <w:pPr>
        <w:autoSpaceDN w:val="0"/>
        <w:ind w:right="480" w:firstLineChars="200" w:firstLine="640"/>
        <w:jc w:val="right"/>
        <w:rPr>
          <w:rFonts w:cs="Times New Roman"/>
        </w:rPr>
      </w:pPr>
      <w:r>
        <w:rPr>
          <w:rFonts w:ascii="Times New Roman" w:eastAsia="方正仿宋_GBK" w:cs="Times New Roman" w:hAnsi="Times New Roman"/>
          <w:sz w:val="32"/>
          <w:szCs w:val="32"/>
        </w:rPr>
        <w:t>2026</w:t>
      </w:r>
      <w:r>
        <w:rPr>
          <w:rFonts w:ascii="Times New Roman" w:eastAsia="方正仿宋_GBK" w:cs="方正仿宋_GBK" w:hAnsi="Times New Roman" w:hint="eastAsia"/>
          <w:sz w:val="32"/>
          <w:szCs w:val="32"/>
        </w:rPr>
        <w:t>年</w:t>
      </w:r>
      <w:r>
        <w:rPr>
          <w:rFonts w:ascii="Times New Roman" w:eastAsia="方正仿宋_GBK" w:cs="方正仿宋_GBK" w:hAnsi="Times New Roman"/>
          <w:sz w:val="32"/>
          <w:szCs w:val="32"/>
        </w:rPr>
        <w:t>6</w:t>
      </w:r>
      <w:r>
        <w:rPr>
          <w:rFonts w:ascii="Times New Roman" w:eastAsia="方正仿宋_GBK" w:cs="方正仿宋_GBK" w:hAnsi="Times New Roman" w:hint="eastAsia"/>
          <w:sz w:val="32"/>
          <w:szCs w:val="32"/>
        </w:rPr>
        <w:t>月</w:t>
      </w:r>
      <w:r>
        <w:rPr>
          <w:rFonts w:ascii="Times New Roman" w:eastAsia="方正仿宋_GBK" w:cs="Times New Roman" w:hAnsi="Times New Roman"/>
          <w:sz w:val="32"/>
          <w:szCs w:val="32"/>
        </w:rPr>
        <w:t>22</w:t>
      </w:r>
      <w:r>
        <w:rPr>
          <w:rFonts w:ascii="Times New Roman" w:eastAsia="方正仿宋_GBK" w:cs="方正仿宋_GBK" w:hAnsi="Times New Roman" w:hint="eastAsia"/>
          <w:sz w:val="32"/>
          <w:szCs w:val="32"/>
        </w:rPr>
        <w:t>日</w:t>
      </w:r>
    </w:p>
    <w:sectPr>
      <w:pgSz w:w="16838" w:h="11906" w:orient="landscape"/>
      <w:pgMar w:top="1800" w:right="1440" w:bottom="1800" w:left="144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Times New Roman">
    <w:panose1 w:val="02020603050405020304"/>
    <w:charset w:val="00"/>
    <w:family w:val="roman"/>
    <w:pitch w:val="variable"/>
    <w:sig w:usb0="E0002AFF" w:usb1="C0007841" w:usb2="00000009" w:usb3="00000000" w:csb0="000001FF" w:csb1="00000000"/>
  </w:font>
  <w:font w:name="方正楷体_GBK">
    <w:panose1 w:val="03000509000000000000"/>
    <w:charset w:val="86"/>
    <w:family w:val="script"/>
    <w:pitch w:val="variable"/>
    <w:sig w:usb0="00000001" w:usb1="080E0000" w:usb2="00000010" w:usb3="00000000" w:csb0="00040000" w:csb1="00000000"/>
  </w:font>
  <w:font w:name="方正仿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Lucida Sans">
    <w:altName w:val="DejaVu Sans"/>
    <w:panose1 w:val="020B0602030504020204"/>
    <w:charset w:val="00"/>
    <w:family w:val="auto"/>
    <w:pitch w:val="variable"/>
    <w:sig w:usb0="00000003" w:usb1="00000000" w:usb2="00000000" w:usb3="00000000" w:csb0="20000001" w:csb1="00000000"/>
  </w:font>
  <w:font w:name="Calibri">
    <w:altName w:val="Times New Roman"/>
    <w:panose1 w:val="020F0502020204030204"/>
    <w:charset w:val="00"/>
    <w:family w:val="swiss"/>
    <w:pitch w:val="variable"/>
    <w:sig w:usb0="E00002FF" w:usb1="4000ACFF" w:usb2="00000001" w:usb3="00000000" w:csb0="0000019F" w:csb1="00000000"/>
  </w:font>
  <w:font w:name="黑体">
    <w:altName w:val="方正黑体_GBK"/>
    <w:panose1 w:val="00000000000000000000"/>
    <w:charset w:val="00"/>
    <w:family w:val="auto"/>
    <w:pitch w:val="variable"/>
    <w:sig w:usb0="00000000" w:usb1="00000000" w:usb2="00000000" w:usb3="00000000" w:csb0="00000000" w:csb1="00000000"/>
  </w:font>
</w:fonts>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val="bestFit" w:percent="94"/>
  <w:doNotDisplayPageBoundaries/>
  <w:bordersDoNotSurroundHeader/>
  <w:bordersDoNotSurroundFooter/>
  <w:trackRevisions/>
  <w:defaultTabStop w:val="420"/>
  <w:drawingGridHorizontalSpacing w:val="105"/>
  <w:drawingGridVerticalSpacing w:val="156"/>
  <w:displayHorizontalDrawingGridEvery w:val="0"/>
  <w:displayVerticalDrawingGridEvery w:val="1"/>
  <w:noPunctuationKerning/>
  <w:characterSpacingControl w:val="compressPunctuation"/>
  <w:noLineBreaksAfter w:lang="zh-CN" w:val="$([{£¥·‘“〈《「『【〔〖〝﹙﹛﹝＄（．［｛￡￥"/>
  <w:noLineBreaksBefore w:lang="zh-CN" w:val="!%),.:;&gt;?]}¢¨°·ˇˉ―‖’”…‰′″›℃∶、。〃〉》」』】〕〗〞︶︺︾﹀﹄﹚﹜﹞！＂％＇），．：；？］｀｜｝～￠"/>
  <w:savePreviewPicture/>
  <w:compat>
    <w:spaceForUL/>
    <w:balanceSingleByteDoubleByteWidth/>
    <w:ulTrailSpace/>
    <w:doNotExpandShiftReturn/>
    <w:adjustLineHeightInTable/>
    <w:growAutofit/>
    <w:useAltKinsokuLineBreakRules/>
    <w:splitPgBreakAndParaMark/>
    <w:compatSetting w:name="compatibilityMode" w:uri="http://schemas.microsoft.com/office/word" w:val="14"/>
  </w:compat>
  <w:docVar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Calibri" w:eastAsia="宋体" w:cs="Calibri" w:hAnsi="Calibri"/>
      <w:kern w:val="2"/>
      <w:sz w:val="21"/>
      <w:szCs w:val="21"/>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styleId="15">
    <w:name w:val="footer"/>
    <w:basedOn w:val="0"/>
    <w:pPr>
      <w:tabs>
        <w:tab w:val="center" w:pos="4153"/>
        <w:tab w:val="right" w:pos="8306"/>
      </w:tabs>
      <w:snapToGrid w:val="0"/>
      <w:jc w:val="left"/>
    </w:pPr>
    <w:rPr>
      <w:sz w:val="18"/>
      <w:szCs w:val="18"/>
    </w:rPr>
  </w:style>
  <w:style w:type="paragraph" w:styleId="16">
    <w:name w:val="header"/>
    <w:basedOn w:val="0"/>
    <w:pPr>
      <w:pBdr>
        <w:bottom w:val="single" w:sz="6" w:space="1" w:color="auto"/>
      </w:pBdr>
      <w:tabs>
        <w:tab w:val="center" w:pos="4153"/>
        <w:tab w:val="right" w:pos="8306"/>
      </w:tabs>
      <w:snapToGrid w:val="0"/>
      <w:jc w:val="center"/>
    </w:pPr>
    <w:rPr>
      <w:sz w:val="18"/>
      <w:szCs w:val="18"/>
    </w:rPr>
  </w:style>
  <w:style w:type="character" w:customStyle="1" w:styleId="17">
    <w:name w:val="NormalCharacter"/>
  </w:style>
  <w:style w:type="character" w:customStyle="1" w:styleId="18">
    <w:name w:val="im-content1"/>
    <w:basedOn w:val="10"/>
    <w:rPr>
      <w:color w:val="000000"/>
    </w:rPr>
  </w:style>
  <w:style w:type="paragraph" w:customStyle="1" w:styleId="19">
    <w:name w:val="样式"/>
    <w:link w:val="19Char"/>
    <w:rPr>
      <w:rFonts w:ascii="Times New Roman" w:eastAsia="宋体" w:cs="Times New Roman" w:hAnsi="Times New Roman"/>
      <w:sz w:val="20"/>
      <w:szCs w:val="20"/>
      <w:lang w:val="en-US" w:eastAsia="zh-CN" w:bidi="ar-SA"/>
    </w:rPr>
  </w:style>
  <w:style w:type="character" w:customStyle="1" w:styleId="19Char">
    <w:name w:val="样式 Char"/>
    <w:basedOn w:val="10"/>
    <w:link w:val="19"/>
    <w:rPr>
      <w:rFonts w:ascii="Times New Roman" w:eastAsia="宋体" w:cs="Times New Roman" w:hAnsi="Times New Roman"/>
      <w:sz w:val="20"/>
      <w:szCs w:val="20"/>
      <w:lang w:val="en-US" w:eastAsia="zh-CN" w:bidi="ar-SA"/>
    </w:rPr>
  </w:style>
  <w:style w:type="paragraph" w:customStyle="1" w:styleId="20">
    <w:name w:val="样式 1 10 磅"/>
    <w:pPr>
      <w:widowControl w:val="0"/>
      <w:jc w:val="both"/>
    </w:pPr>
    <w:rPr>
      <w:rFonts w:ascii="Calibri" w:eastAsia="宋体" w:cs="Calibri" w:hAnsi="Calibri"/>
      <w:kern w:val="2"/>
      <w:sz w:val="21"/>
      <w:szCs w:val="21"/>
      <w:lang w:val="en-US" w:eastAsia="zh-CN" w:bidi="ar-SA"/>
    </w:rPr>
  </w:style>
  <w:style w:type="character" w:customStyle="1" w:styleId="21">
    <w:name w:val="font21"/>
    <w:basedOn w:val="10"/>
    <w:rPr>
      <w:rFonts w:ascii="宋体" w:eastAsia="宋体" w:cs="宋体"/>
      <w:color w:val="000000"/>
      <w:sz w:val="18"/>
      <w:szCs w:val="18"/>
      <w:u w:val="none"/>
    </w:rPr>
  </w:style>
  <w:style w:type="character" w:customStyle="1" w:styleId="22">
    <w:name w:val="font31"/>
    <w:basedOn w:val="10"/>
    <w:rPr>
      <w:rFonts w:ascii="Calibri" w:cs="Calibri" w:hAnsi="Calibri"/>
      <w:color w:val="000000"/>
      <w:sz w:val="18"/>
      <w:szCs w:val="18"/>
      <w:u w:val="none"/>
    </w:rPr>
  </w:style>
  <w:style w:type="character" w:customStyle="1" w:styleId="23">
    <w:name w:val="font11"/>
    <w:basedOn w:val="10"/>
    <w:rPr>
      <w:rFonts w:ascii="Times New Roman" w:cs="Times New Roman" w:hAnsi="Times New Roman"/>
      <w:color w:val="000000"/>
      <w:sz w:val="24"/>
      <w:szCs w:val="24"/>
      <w:u w:val="none"/>
    </w:rPr>
  </w:style>
  <w:style w:type="character" w:customStyle="1" w:styleId="24">
    <w:name w:val="font51"/>
    <w:basedOn w:val="10"/>
    <w:rPr>
      <w:rFonts w:ascii="方正仿宋_GBK" w:eastAsia="方正仿宋_GBK" w:cs="方正仿宋_GBK"/>
      <w:color w:val="000000"/>
      <w:sz w:val="24"/>
      <w:szCs w:val="24"/>
      <w:u w:val="none"/>
    </w:rPr>
  </w:style>
  <w:style w:type="character" w:customStyle="1" w:styleId="25">
    <w:name w:val="font41"/>
    <w:basedOn w:val="10"/>
    <w:rPr>
      <w:rFonts w:ascii="方正仿宋_GBK" w:eastAsia="方正仿宋_GBK" w:cs="方正仿宋_GBK"/>
      <w:color w:val="000000"/>
      <w:sz w:val="24"/>
      <w:szCs w:val="24"/>
      <w:u w:val="none"/>
    </w:rPr>
  </w:style>
  <w:style w:type="character" w:customStyle="1" w:styleId="26">
    <w:name w:val="font61"/>
    <w:basedOn w:val="10"/>
    <w:rPr>
      <w:rFonts w:ascii="方正仿宋_GBK" w:eastAsia="方正仿宋_GBK" w:cs="方正仿宋_GBK"/>
      <w:color w:val="4D4D4D"/>
      <w:sz w:val="24"/>
      <w:szCs w:val="24"/>
      <w:u w:val="none"/>
    </w:rPr>
  </w:style>
  <w:style w:type="character" w:customStyle="1" w:styleId="27">
    <w:name w:val="font01"/>
    <w:basedOn w:val="10"/>
    <w:rPr>
      <w:rFonts w:ascii="宋体" w:eastAsia="宋体" w:cs="宋体"/>
      <w:color w:val="000000"/>
      <w:sz w:val="22"/>
      <w:szCs w:val="22"/>
      <w:u w:val="none"/>
    </w:rPr>
  </w:style>
  <w:style w:type="character" w:customStyle="1" w:styleId="28">
    <w:name w:val="font71"/>
    <w:basedOn w:val="10"/>
    <w:rPr>
      <w:rFonts w:ascii="Times New Roman" w:cs="Times New Roman" w:hAnsi="Times New Roman"/>
      <w:color w:val="auto"/>
      <w:sz w:val="32"/>
      <w:szCs w:val="32"/>
      <w:u w:val="none"/>
    </w:rPr>
  </w:style>
  <w:style w:type="character" w:customStyle="1" w:styleId="29">
    <w:name w:val="font81"/>
    <w:basedOn w:val="10"/>
    <w:rPr>
      <w:rFonts w:ascii="Times New Roman" w:cs="Times New Roman" w:hAnsi="Times New Roman"/>
      <w:color w:val="000000"/>
      <w:sz w:val="32"/>
      <w:szCs w:val="32"/>
      <w:u w:val="none"/>
    </w:rPr>
  </w:style>
  <w:style w:type="paragraph" w:customStyle="1" w:styleId="30">
    <w:name w:val="样式 10 磅"/>
    <w:pPr>
      <w:widowControl w:val="0"/>
      <w:jc w:val="both"/>
    </w:pPr>
    <w:rPr>
      <w:rFonts w:ascii="Calibri" w:eastAsia="宋体" w:cs="Calibri" w:hAnsi="Calibri"/>
      <w:kern w:val="2"/>
      <w:sz w:val="21"/>
      <w:szCs w:val="21"/>
      <w:lang w:val="en-US" w:eastAsia="zh-CN" w:bidi="ar-SA"/>
    </w:rPr>
  </w:style>
  <w:style w:type="paragraph" w:customStyle="1" w:styleId="31">
    <w:name w:val="样式 2 10 磅"/>
    <w:pPr>
      <w:widowControl w:val="0"/>
      <w:jc w:val="both"/>
    </w:pPr>
    <w:rPr>
      <w:rFonts w:ascii="Calibri" w:eastAsia="宋体" w:cs="Calibri" w:hAnsi="Calibri"/>
      <w:kern w:val="2"/>
      <w:sz w:val="21"/>
      <w:szCs w:val="21"/>
      <w:lang w:val="en-US" w:eastAsia="zh-CN" w:bidi="ar-SA"/>
    </w:rPr>
  </w:style>
  <w:style w:type="character" w:styleId="32">
    <w:name w:val="Hyperlink"/>
    <w:basedOn w:val="10"/>
    <w:rPr>
      <w:color w:val="0000FF"/>
      <w:u w:val="single"/>
    </w:rPr>
  </w:style>
  <w:style w:type="paragraph" w:customStyle="1" w:styleId="33">
    <w:name w:val="样式 3 10 磅"/>
    <w:pPr>
      <w:widowControl w:val="0"/>
      <w:jc w:val="both"/>
    </w:pPr>
    <w:rPr>
      <w:rFonts w:ascii="Calibri" w:eastAsia="宋体" w:cs="Calibri" w:hAnsi="Calibri"/>
      <w:kern w:val="2"/>
      <w:sz w:val="21"/>
      <w:szCs w:val="21"/>
      <w:lang w:val="en-US" w:eastAsia="zh-CN" w:bidi="ar-SA"/>
    </w:rPr>
  </w:style>
  <w:style w:type="paragraph" w:customStyle="1" w:styleId="34">
    <w:name w:val="样式 4 10 磅"/>
    <w:pPr>
      <w:widowControl w:val="0"/>
      <w:jc w:val="both"/>
    </w:pPr>
    <w:rPr>
      <w:rFonts w:ascii="Calibri" w:eastAsia="宋体" w:cs="Calibri" w:hAnsi="Calibri"/>
      <w:kern w:val="2"/>
      <w:sz w:val="21"/>
      <w:szCs w:val="21"/>
      <w:lang w:val="en-US" w:eastAsia="zh-CN" w:bidi="ar-SA"/>
    </w:rPr>
  </w:style>
  <w:style w:type="paragraph" w:customStyle="1" w:styleId="35">
    <w:name w:val="样式 5 10 磅"/>
    <w:pPr>
      <w:widowControl w:val="0"/>
      <w:jc w:val="both"/>
    </w:pPr>
    <w:rPr>
      <w:rFonts w:ascii="Calibri" w:eastAsia="宋体" w:cs="Calibri" w:hAnsi="Calibri"/>
      <w:kern w:val="2"/>
      <w:sz w:val="21"/>
      <w:szCs w:val="21"/>
      <w:lang w:val="en-US" w:eastAsia="zh-CN" w:bidi="ar-SA"/>
    </w:rPr>
  </w:style>
  <w:style w:type="paragraph" w:customStyle="1" w:styleId="36">
    <w:name w:val="样式 6 10 磅"/>
    <w:pPr>
      <w:widowControl w:val="0"/>
      <w:jc w:val="both"/>
    </w:pPr>
    <w:rPr>
      <w:rFonts w:ascii="Calibri" w:eastAsia="宋体" w:cs="Calibri" w:hAnsi="Calibri"/>
      <w:kern w:val="2"/>
      <w:sz w:val="21"/>
      <w:szCs w:val="21"/>
      <w:lang w:val="en-US" w:eastAsia="zh-CN" w:bidi="ar-SA"/>
    </w:rPr>
  </w:style>
  <w:style w:type="paragraph" w:customStyle="1" w:styleId="37">
    <w:name w:val="样式 7 10 磅"/>
    <w:pPr>
      <w:widowControl w:val="0"/>
      <w:jc w:val="both"/>
    </w:pPr>
    <w:rPr>
      <w:rFonts w:ascii="Calibri" w:eastAsia="宋体" w:cs="Calibri" w:hAnsi="Calibri"/>
      <w:kern w:val="2"/>
      <w:sz w:val="21"/>
      <w:szCs w:val="21"/>
      <w:lang w:val="en-US" w:eastAsia="zh-CN" w:bidi="ar-SA"/>
    </w:rPr>
  </w:style>
  <w:style w:type="paragraph" w:customStyle="1" w:styleId="38">
    <w:name w:val="样式 8 10 磅"/>
    <w:pPr>
      <w:widowControl w:val="0"/>
      <w:jc w:val="both"/>
    </w:pPr>
    <w:rPr>
      <w:rFonts w:ascii="Calibri" w:eastAsia="宋体" w:cs="Calibri" w:hAnsi="Calibri"/>
      <w:kern w:val="2"/>
      <w:sz w:val="21"/>
      <w:szCs w:val="21"/>
      <w:lang w:val="en-US" w:eastAsia="zh-CN" w:bidi="ar-SA"/>
    </w:rPr>
  </w:style>
  <w:style w:type="paragraph" w:customStyle="1" w:styleId="39">
    <w:name w:val="样式 9 10 磅"/>
    <w:pPr>
      <w:widowControl w:val="0"/>
      <w:jc w:val="both"/>
    </w:pPr>
    <w:rPr>
      <w:rFonts w:ascii="Calibri" w:eastAsia="宋体" w:cs="Calibri" w:hAnsi="Calibri"/>
      <w:kern w:val="2"/>
      <w:sz w:val="21"/>
      <w:szCs w:val="21"/>
      <w:lang w:val="en-US" w:eastAsia="zh-CN" w:bidi="ar-SA"/>
    </w:rPr>
  </w:style>
  <w:style w:type="paragraph" w:customStyle="1" w:styleId="40">
    <w:name w:val="样式 10 10 磅"/>
    <w:pPr>
      <w:widowControl w:val="0"/>
      <w:jc w:val="both"/>
    </w:pPr>
    <w:rPr>
      <w:rFonts w:ascii="Calibri" w:eastAsia="宋体" w:cs="Calibri" w:hAnsi="Calibri"/>
      <w:kern w:val="2"/>
      <w:sz w:val="21"/>
      <w:szCs w:val="21"/>
      <w:lang w:val="en-US" w:eastAsia="zh-CN" w:bidi="ar-SA"/>
    </w:rPr>
  </w:style>
  <w:style w:type="paragraph" w:customStyle="1" w:styleId="41">
    <w:name w:val="样式 11 10 磅"/>
    <w:pPr>
      <w:widowControl w:val="0"/>
      <w:jc w:val="both"/>
    </w:pPr>
    <w:rPr>
      <w:rFonts w:ascii="Calibri" w:eastAsia="宋体" w:cs="Calibri" w:hAnsi="Calibri"/>
      <w:kern w:val="2"/>
      <w:sz w:val="21"/>
      <w:szCs w:val="21"/>
      <w:lang w:val="en-US" w:eastAsia="zh-CN" w:bidi="ar-SA"/>
    </w:rPr>
  </w:style>
  <w:style w:type="paragraph" w:customStyle="1" w:styleId="42">
    <w:name w:val="样式 12 10 磅"/>
    <w:pPr>
      <w:widowControl w:val="0"/>
      <w:jc w:val="both"/>
    </w:pPr>
    <w:rPr>
      <w:rFonts w:ascii="Calibri" w:eastAsia="宋体" w:cs="Calibri" w:hAnsi="Calibri"/>
      <w:kern w:val="2"/>
      <w:sz w:val="21"/>
      <w:szCs w:val="21"/>
      <w:lang w:val="en-US" w:eastAsia="zh-CN" w:bidi="ar-SA"/>
    </w:rPr>
  </w:style>
  <w:style w:type="paragraph" w:customStyle="1" w:styleId="43">
    <w:name w:val="样式 13 10 磅"/>
    <w:pPr>
      <w:widowControl w:val="0"/>
      <w:jc w:val="both"/>
    </w:pPr>
    <w:rPr>
      <w:rFonts w:ascii="Calibri" w:eastAsia="宋体" w:cs="Calibri" w:hAnsi="Calibri"/>
      <w:kern w:val="2"/>
      <w:sz w:val="21"/>
      <w:szCs w:val="21"/>
      <w:lang w:val="en-US" w:eastAsia="zh-CN" w:bidi="ar-SA"/>
    </w:rPr>
  </w:style>
  <w:style w:type="paragraph" w:customStyle="1" w:styleId="44">
    <w:name w:val="样式 14 10 磅"/>
    <w:pPr>
      <w:widowControl w:val="0"/>
      <w:jc w:val="both"/>
    </w:pPr>
    <w:rPr>
      <w:rFonts w:ascii="Calibri" w:eastAsia="宋体" w:cs="Calibri" w:hAnsi="Calibri"/>
      <w:kern w:val="2"/>
      <w:sz w:val="21"/>
      <w:szCs w:val="21"/>
      <w:lang w:val="en-US" w:eastAsia="zh-CN" w:bidi="ar-SA"/>
    </w:rPr>
  </w:style>
  <w:style w:type="paragraph" w:customStyle="1" w:styleId="45">
    <w:name w:val="样式 15 10 磅"/>
    <w:pPr>
      <w:widowControl w:val="0"/>
      <w:jc w:val="both"/>
    </w:pPr>
    <w:rPr>
      <w:rFonts w:ascii="Calibri" w:eastAsia="宋体" w:cs="Calibri" w:hAnsi="Calibri"/>
      <w:kern w:val="2"/>
      <w:sz w:val="21"/>
      <w:szCs w:val="21"/>
      <w:lang w:val="en-US" w:eastAsia="zh-CN" w:bidi="ar-SA"/>
    </w:rPr>
  </w:style>
  <w:style w:type="paragraph" w:customStyle="1" w:styleId="46">
    <w:name w:val="样式 16 10 磅"/>
    <w:pPr>
      <w:widowControl w:val="0"/>
      <w:jc w:val="both"/>
    </w:pPr>
    <w:rPr>
      <w:rFonts w:ascii="Calibri" w:eastAsia="宋体" w:cs="Calibri" w:hAnsi="Calibri"/>
      <w:kern w:val="2"/>
      <w:sz w:val="21"/>
      <w:szCs w:val="21"/>
      <w:lang w:val="en-US" w:eastAsia="zh-CN" w:bidi="ar-SA"/>
    </w:rPr>
  </w:style>
  <w:style w:type="paragraph" w:customStyle="1" w:styleId="47">
    <w:name w:val="样式 17 10 磅"/>
    <w:pPr>
      <w:widowControl w:val="0"/>
      <w:jc w:val="both"/>
    </w:pPr>
    <w:rPr>
      <w:rFonts w:ascii="Calibri" w:eastAsia="宋体" w:cs="Calibri" w:hAnsi="Calibri"/>
      <w:kern w:val="2"/>
      <w:sz w:val="21"/>
      <w:szCs w:val="21"/>
      <w:lang w:val="en-US" w:eastAsia="zh-CN" w:bidi="ar-SA"/>
    </w:rPr>
  </w:style>
  <w:style w:type="paragraph" w:customStyle="1" w:styleId="48">
    <w:name w:val="样式 18 10 磅"/>
    <w:pPr>
      <w:widowControl w:val="0"/>
      <w:jc w:val="both"/>
    </w:pPr>
    <w:rPr>
      <w:rFonts w:ascii="Calibri" w:eastAsia="宋体" w:cs="Calibri" w:hAnsi="Calibri"/>
      <w:kern w:val="2"/>
      <w:sz w:val="21"/>
      <w:szCs w:val="21"/>
      <w:lang w:val="en-US" w:eastAsia="zh-CN" w:bidi="ar-SA"/>
    </w:rPr>
  </w:style>
  <w:style w:type="paragraph" w:customStyle="1" w:styleId="49">
    <w:name w:val="样式 19 10 磅"/>
    <w:pPr>
      <w:widowControl w:val="0"/>
      <w:jc w:val="both"/>
    </w:pPr>
    <w:rPr>
      <w:rFonts w:ascii="Calibri" w:eastAsia="宋体" w:cs="Calibri" w:hAnsi="Calibri"/>
      <w:kern w:val="2"/>
      <w:sz w:val="21"/>
      <w:szCs w:val="21"/>
      <w:lang w:val="en-US" w:eastAsia="zh-CN" w:bidi="ar-SA"/>
    </w:rPr>
  </w:style>
  <w:style w:type="paragraph" w:customStyle="1" w:styleId="50">
    <w:name w:val="样式 20 10 磅"/>
    <w:pPr>
      <w:widowControl w:val="0"/>
      <w:jc w:val="both"/>
    </w:pPr>
    <w:rPr>
      <w:rFonts w:ascii="Calibri" w:eastAsia="宋体" w:cs="Calibri" w:hAnsi="Calibri"/>
      <w:kern w:val="2"/>
      <w:sz w:val="21"/>
      <w:szCs w:val="21"/>
      <w:lang w:val="en-US" w:eastAsia="zh-CN" w:bidi="ar-SA"/>
    </w:rPr>
  </w:style>
  <w:style w:type="paragraph" w:customStyle="1" w:styleId="51">
    <w:name w:val="样式 21 10 磅"/>
    <w:pPr>
      <w:widowControl w:val="0"/>
      <w:jc w:val="both"/>
    </w:pPr>
    <w:rPr>
      <w:rFonts w:ascii="Calibri" w:eastAsia="宋体" w:cs="Calibri" w:hAnsi="Calibri"/>
      <w:kern w:val="2"/>
      <w:sz w:val="21"/>
      <w:szCs w:val="21"/>
      <w:lang w:val="en-US" w:eastAsia="zh-CN" w:bidi="ar-SA"/>
    </w:rPr>
  </w:style>
  <w:style w:type="paragraph" w:customStyle="1" w:styleId="52">
    <w:name w:val="样式 22 10 磅"/>
    <w:pPr>
      <w:widowControl w:val="0"/>
      <w:jc w:val="both"/>
    </w:pPr>
    <w:rPr>
      <w:rFonts w:ascii="Calibri" w:eastAsia="宋体" w:cs="Calibri" w:hAnsi="Calibri"/>
      <w:kern w:val="2"/>
      <w:sz w:val="21"/>
      <w:szCs w:val="21"/>
      <w:lang w:val="en-US" w:eastAsia="zh-CN" w:bidi="ar-SA"/>
    </w:rPr>
  </w:style>
  <w:style w:type="paragraph" w:customStyle="1" w:styleId="53">
    <w:name w:val="样式 23 10 磅"/>
    <w:pPr>
      <w:widowControl w:val="0"/>
      <w:jc w:val="both"/>
    </w:pPr>
    <w:rPr>
      <w:rFonts w:ascii="Calibri" w:eastAsia="宋体" w:cs="Calibri" w:hAnsi="Calibri"/>
      <w:kern w:val="2"/>
      <w:sz w:val="21"/>
      <w:szCs w:val="21"/>
      <w:lang w:val="en-US" w:eastAsia="zh-CN" w:bidi="ar-SA"/>
    </w:rPr>
  </w:style>
  <w:style w:type="paragraph" w:customStyle="1" w:styleId="54">
    <w:name w:val="样式 24 10 磅"/>
    <w:pPr>
      <w:widowControl w:val="0"/>
      <w:jc w:val="both"/>
    </w:pPr>
    <w:rPr>
      <w:rFonts w:ascii="Calibri" w:eastAsia="宋体" w:cs="Calibri" w:hAnsi="Calibri"/>
      <w:kern w:val="2"/>
      <w:sz w:val="21"/>
      <w:szCs w:val="21"/>
      <w:lang w:val="en-US" w:eastAsia="zh-CN" w:bidi="ar-SA"/>
    </w:rPr>
  </w:style>
  <w:style w:type="paragraph" w:customStyle="1" w:styleId="55">
    <w:name w:val="样式 25 10 磅"/>
    <w:pPr>
      <w:widowControl w:val="0"/>
      <w:jc w:val="both"/>
    </w:pPr>
    <w:rPr>
      <w:rFonts w:ascii="Calibri" w:eastAsia="宋体" w:cs="Calibri" w:hAnsi="Calibri"/>
      <w:kern w:val="2"/>
      <w:sz w:val="21"/>
      <w:szCs w:val="21"/>
      <w:lang w:val="en-US" w:eastAsia="zh-CN" w:bidi="ar-SA"/>
    </w:rPr>
  </w:style>
  <w:style w:type="paragraph" w:customStyle="1" w:styleId="56">
    <w:name w:val="样式 26 10 磅"/>
    <w:pPr>
      <w:widowControl w:val="0"/>
      <w:jc w:val="both"/>
    </w:pPr>
    <w:rPr>
      <w:rFonts w:ascii="Calibri" w:eastAsia="宋体" w:cs="Calibri" w:hAnsi="Calibri"/>
      <w:kern w:val="2"/>
      <w:sz w:val="21"/>
      <w:szCs w:val="21"/>
      <w:lang w:val="en-US" w:eastAsia="zh-CN" w:bidi="ar-SA"/>
    </w:rPr>
  </w:style>
  <w:style w:type="paragraph" w:customStyle="1" w:styleId="57">
    <w:name w:val="样式 27 10 磅"/>
    <w:pPr>
      <w:widowControl w:val="0"/>
      <w:jc w:val="both"/>
    </w:pPr>
    <w:rPr>
      <w:rFonts w:ascii="Calibri" w:eastAsia="宋体" w:cs="Calibri" w:hAnsi="Calibri"/>
      <w:kern w:val="2"/>
      <w:sz w:val="21"/>
      <w:szCs w:val="21"/>
      <w:lang w:val="en-US" w:eastAsia="zh-CN" w:bidi="ar-SA"/>
    </w:rPr>
  </w:style>
  <w:style w:type="paragraph" w:customStyle="1" w:styleId="58">
    <w:name w:val="样式 28 10 磅"/>
    <w:pPr>
      <w:widowControl w:val="0"/>
      <w:jc w:val="both"/>
    </w:pPr>
    <w:rPr>
      <w:rFonts w:ascii="Calibri" w:eastAsia="宋体" w:cs="Calibri" w:hAnsi="Calibri"/>
      <w:kern w:val="2"/>
      <w:sz w:val="21"/>
      <w:szCs w:val="21"/>
      <w:lang w:val="en-US" w:eastAsia="zh-CN" w:bidi="ar-SA"/>
    </w:rPr>
  </w:style>
  <w:style w:type="paragraph" w:customStyle="1" w:styleId="59">
    <w:name w:val="样式 29 10 磅"/>
    <w:pPr>
      <w:widowControl w:val="0"/>
      <w:jc w:val="both"/>
    </w:pPr>
    <w:rPr>
      <w:rFonts w:ascii="Calibri" w:eastAsia="宋体" w:cs="Calibri" w:hAnsi="Calibri"/>
      <w:kern w:val="2"/>
      <w:sz w:val="21"/>
      <w:szCs w:val="21"/>
      <w:lang w:val="en-US" w:eastAsia="zh-CN" w:bidi="ar-SA"/>
    </w:rPr>
  </w:style>
  <w:style w:type="paragraph" w:customStyle="1" w:styleId="60">
    <w:name w:val="样式 30 10 磅"/>
    <w:pPr>
      <w:widowControl w:val="0"/>
      <w:jc w:val="both"/>
    </w:pPr>
    <w:rPr>
      <w:rFonts w:ascii="Calibri" w:eastAsia="宋体" w:cs="Calibri" w:hAnsi="Calibri"/>
      <w:kern w:val="2"/>
      <w:sz w:val="21"/>
      <w:szCs w:val="21"/>
      <w:lang w:val="en-US" w:eastAsia="zh-CN" w:bidi="ar-SA"/>
    </w:rPr>
  </w:style>
  <w:style w:type="paragraph" w:customStyle="1" w:styleId="61">
    <w:name w:val="样式 31 10 磅"/>
    <w:pPr>
      <w:widowControl w:val="0"/>
      <w:jc w:val="both"/>
    </w:pPr>
    <w:rPr>
      <w:rFonts w:ascii="Calibri" w:eastAsia="宋体" w:cs="Calibri" w:hAnsi="Calibri"/>
      <w:kern w:val="2"/>
      <w:sz w:val="21"/>
      <w:szCs w:val="21"/>
      <w:lang w:val="en-US" w:eastAsia="zh-CN" w:bidi="ar-SA"/>
    </w:rPr>
  </w:style>
  <w:style w:type="paragraph" w:customStyle="1" w:styleId="62">
    <w:name w:val="样式 32 10 磅"/>
    <w:pPr>
      <w:widowControl w:val="0"/>
      <w:jc w:val="both"/>
    </w:pPr>
    <w:rPr>
      <w:rFonts w:ascii="Calibri" w:eastAsia="宋体" w:cs="Calibri" w:hAnsi="Calibri"/>
      <w:kern w:val="2"/>
      <w:sz w:val="21"/>
      <w:szCs w:val="21"/>
      <w:lang w:val="en-US" w:eastAsia="zh-CN" w:bidi="ar-SA"/>
    </w:rPr>
  </w:style>
  <w:style w:type="paragraph" w:customStyle="1" w:styleId="63">
    <w:name w:val="样式 33 10 磅"/>
    <w:pPr>
      <w:widowControl w:val="0"/>
      <w:jc w:val="both"/>
    </w:pPr>
    <w:rPr>
      <w:rFonts w:ascii="Calibri" w:eastAsia="宋体" w:cs="Calibri" w:hAnsi="Calibri"/>
      <w:kern w:val="2"/>
      <w:sz w:val="21"/>
      <w:szCs w:val="21"/>
      <w:lang w:val="en-US" w:eastAsia="zh-CN" w:bidi="ar-SA"/>
    </w:rPr>
  </w:style>
  <w:style w:type="paragraph" w:customStyle="1" w:styleId="64">
    <w:name w:val="样式 34 10 磅"/>
    <w:pPr>
      <w:widowControl w:val="0"/>
      <w:jc w:val="both"/>
    </w:pPr>
    <w:rPr>
      <w:rFonts w:ascii="Calibri" w:eastAsia="宋体" w:cs="Calibri" w:hAnsi="Calibri"/>
      <w:kern w:val="2"/>
      <w:sz w:val="21"/>
      <w:szCs w:val="21"/>
      <w:lang w:val="en-US" w:eastAsia="zh-CN" w:bidi="ar-SA"/>
    </w:rPr>
  </w:style>
  <w:style w:type="paragraph" w:customStyle="1" w:styleId="65">
    <w:name w:val="样式 35 10 磅"/>
    <w:pPr>
      <w:widowControl w:val="0"/>
      <w:jc w:val="both"/>
    </w:pPr>
    <w:rPr>
      <w:rFonts w:ascii="Calibri" w:eastAsia="宋体" w:cs="Calibri" w:hAnsi="Calibri"/>
      <w:kern w:val="2"/>
      <w:sz w:val="21"/>
      <w:szCs w:val="21"/>
      <w:lang w:val="en-US" w:eastAsia="zh-CN" w:bidi="ar-SA"/>
    </w:rPr>
  </w:style>
  <w:style w:type="paragraph" w:customStyle="1" w:styleId="66">
    <w:name w:val="样式 36 10 磅"/>
    <w:pPr>
      <w:widowControl w:val="0"/>
      <w:jc w:val="both"/>
    </w:pPr>
    <w:rPr>
      <w:rFonts w:ascii="Calibri" w:eastAsia="宋体" w:cs="Calibri" w:hAnsi="Calibri"/>
      <w:kern w:val="2"/>
      <w:sz w:val="21"/>
      <w:szCs w:val="21"/>
      <w:lang w:val="en-US" w:eastAsia="zh-CN" w:bidi="ar-SA"/>
    </w:rPr>
  </w:style>
  <w:style w:type="paragraph" w:customStyle="1" w:styleId="67">
    <w:name w:val="样式 37 10 磅"/>
    <w:pPr>
      <w:widowControl w:val="0"/>
      <w:jc w:val="both"/>
    </w:pPr>
    <w:rPr>
      <w:rFonts w:ascii="Calibri" w:eastAsia="宋体" w:cs="Calibri" w:hAnsi="Calibri"/>
      <w:kern w:val="2"/>
      <w:sz w:val="21"/>
      <w:szCs w:val="21"/>
      <w:lang w:val="en-US" w:eastAsia="zh-CN" w:bidi="ar-SA"/>
    </w:rPr>
  </w:style>
  <w:style w:type="paragraph" w:customStyle="1" w:styleId="68">
    <w:name w:val="样式 38 10 磅"/>
    <w:pPr>
      <w:widowControl w:val="0"/>
      <w:jc w:val="both"/>
    </w:pPr>
    <w:rPr>
      <w:rFonts w:ascii="Calibri" w:eastAsia="宋体" w:cs="Calibri" w:hAnsi="Calibri"/>
      <w:kern w:val="2"/>
      <w:sz w:val="21"/>
      <w:szCs w:val="21"/>
      <w:lang w:val="en-US" w:eastAsia="zh-CN" w:bidi="ar-SA"/>
    </w:rPr>
  </w:style>
  <w:style w:type="paragraph" w:customStyle="1" w:styleId="69">
    <w:name w:val="样式 39 10 磅"/>
    <w:pPr>
      <w:widowControl w:val="0"/>
      <w:jc w:val="both"/>
    </w:pPr>
    <w:rPr>
      <w:rFonts w:ascii="Calibri" w:eastAsia="宋体" w:cs="Calibri" w:hAnsi="Calibri"/>
      <w:kern w:val="2"/>
      <w:sz w:val="21"/>
      <w:szCs w:val="21"/>
      <w:lang w:val="en-US" w:eastAsia="zh-CN" w:bidi="ar-SA"/>
    </w:rPr>
  </w:style>
  <w:style w:type="paragraph" w:customStyle="1" w:styleId="70">
    <w:name w:val="样式 40 10 磅"/>
    <w:pPr>
      <w:widowControl w:val="0"/>
      <w:jc w:val="both"/>
    </w:pPr>
    <w:rPr>
      <w:rFonts w:ascii="Calibri" w:eastAsia="宋体" w:cs="Calibri" w:hAnsi="Calibri"/>
      <w:kern w:val="2"/>
      <w:sz w:val="21"/>
      <w:szCs w:val="21"/>
      <w:lang w:val="en-US" w:eastAsia="zh-CN" w:bidi="ar-SA"/>
    </w:rPr>
  </w:style>
  <w:style w:type="paragraph" w:customStyle="1" w:styleId="71">
    <w:name w:val="样式 41 10 磅"/>
    <w:pPr>
      <w:widowControl w:val="0"/>
      <w:jc w:val="both"/>
    </w:pPr>
    <w:rPr>
      <w:rFonts w:ascii="Calibri" w:eastAsia="宋体" w:cs="Calibri" w:hAnsi="Calibri"/>
      <w:kern w:val="2"/>
      <w:sz w:val="21"/>
      <w:szCs w:val="21"/>
      <w:lang w:val="en-US" w:eastAsia="zh-CN" w:bidi="ar-SA"/>
    </w:rPr>
  </w:style>
  <w:style w:type="paragraph" w:customStyle="1" w:styleId="72">
    <w:name w:val="样式 42 10 磅"/>
    <w:pPr>
      <w:widowControl w:val="0"/>
      <w:jc w:val="both"/>
    </w:pPr>
    <w:rPr>
      <w:rFonts w:ascii="Calibri" w:eastAsia="宋体" w:cs="Calibri" w:hAnsi="Calibri"/>
      <w:kern w:val="2"/>
      <w:sz w:val="21"/>
      <w:szCs w:val="21"/>
      <w:lang w:val="en-US" w:eastAsia="zh-CN" w:bidi="ar-SA"/>
    </w:rPr>
  </w:style>
  <w:style w:type="paragraph" w:customStyle="1" w:styleId="73">
    <w:name w:val="样式 43 10 磅"/>
    <w:pPr>
      <w:widowControl w:val="0"/>
      <w:jc w:val="both"/>
    </w:pPr>
    <w:rPr>
      <w:rFonts w:ascii="Calibri" w:eastAsia="宋体" w:cs="Calibri" w:hAnsi="Calibri"/>
      <w:kern w:val="2"/>
      <w:sz w:val="21"/>
      <w:szCs w:val="21"/>
      <w:lang w:val="en-US" w:eastAsia="zh-CN" w:bidi="ar-SA"/>
    </w:rPr>
  </w:style>
  <w:style w:type="paragraph" w:customStyle="1" w:styleId="74">
    <w:name w:val="样式 44 10 磅"/>
    <w:pPr>
      <w:widowControl w:val="0"/>
      <w:jc w:val="both"/>
    </w:pPr>
    <w:rPr>
      <w:rFonts w:ascii="Calibri" w:eastAsia="宋体" w:cs="Calibri" w:hAnsi="Calibri"/>
      <w:kern w:val="2"/>
      <w:sz w:val="21"/>
      <w:szCs w:val="21"/>
      <w:lang w:val="en-US" w:eastAsia="zh-CN" w:bidi="ar-SA"/>
    </w:rPr>
  </w:style>
  <w:style w:type="paragraph" w:customStyle="1" w:styleId="75">
    <w:name w:val="样式 45 10 磅"/>
    <w:pPr>
      <w:widowControl w:val="0"/>
      <w:jc w:val="both"/>
    </w:pPr>
    <w:rPr>
      <w:rFonts w:ascii="Calibri" w:eastAsia="宋体" w:cs="Calibri" w:hAnsi="Calibri"/>
      <w:kern w:val="2"/>
      <w:sz w:val="21"/>
      <w:szCs w:val="21"/>
      <w:lang w:val="en-US" w:eastAsia="zh-CN" w:bidi="ar-SA"/>
    </w:rPr>
  </w:style>
  <w:style w:type="paragraph" w:customStyle="1" w:styleId="76">
    <w:name w:val="样式 46 10 磅"/>
    <w:pPr>
      <w:widowControl w:val="0"/>
      <w:jc w:val="both"/>
    </w:pPr>
    <w:rPr>
      <w:rFonts w:ascii="Calibri" w:eastAsia="宋体" w:cs="Calibri" w:hAnsi="Calibri"/>
      <w:kern w:val="2"/>
      <w:sz w:val="21"/>
      <w:szCs w:val="21"/>
      <w:lang w:val="en-US" w:eastAsia="zh-CN" w:bidi="ar-SA"/>
    </w:rPr>
  </w:style>
  <w:style w:type="paragraph" w:customStyle="1" w:styleId="77">
    <w:name w:val="样式 47 10 磅"/>
    <w:pPr>
      <w:widowControl w:val="0"/>
      <w:jc w:val="both"/>
    </w:pPr>
    <w:rPr>
      <w:rFonts w:ascii="Calibri" w:eastAsia="宋体" w:cs="Calibri" w:hAnsi="Calibri"/>
      <w:kern w:val="2"/>
      <w:sz w:val="21"/>
      <w:szCs w:val="21"/>
      <w:lang w:val="en-US" w:eastAsia="zh-CN" w:bidi="ar-SA"/>
    </w:rPr>
  </w:style>
  <w:style w:type="paragraph" w:customStyle="1" w:styleId="78">
    <w:name w:val="样式 48 10 磅"/>
    <w:pPr>
      <w:widowControl w:val="0"/>
      <w:jc w:val="both"/>
    </w:pPr>
    <w:rPr>
      <w:rFonts w:ascii="Calibri" w:eastAsia="宋体" w:cs="Calibri" w:hAnsi="Calibri"/>
      <w:kern w:val="2"/>
      <w:sz w:val="21"/>
      <w:szCs w:val="21"/>
      <w:lang w:val="en-US" w:eastAsia="zh-CN" w:bidi="ar-SA"/>
    </w:rPr>
  </w:style>
  <w:style w:type="paragraph" w:customStyle="1" w:styleId="79">
    <w:name w:val="样式 49 10 磅"/>
    <w:pPr>
      <w:widowControl w:val="0"/>
      <w:jc w:val="both"/>
    </w:pPr>
    <w:rPr>
      <w:rFonts w:ascii="Calibri" w:eastAsia="宋体" w:cs="Calibri" w:hAnsi="Calibri"/>
      <w:kern w:val="2"/>
      <w:sz w:val="21"/>
      <w:szCs w:val="21"/>
      <w:lang w:val="en-US" w:eastAsia="zh-CN" w:bidi="ar-SA"/>
    </w:rPr>
  </w:style>
  <w:style w:type="paragraph" w:customStyle="1" w:styleId="80">
    <w:name w:val="样式 50 10 磅"/>
    <w:pPr>
      <w:widowControl w:val="0"/>
      <w:jc w:val="both"/>
    </w:pPr>
    <w:rPr>
      <w:rFonts w:ascii="Calibri" w:eastAsia="宋体" w:cs="Calibri" w:hAnsi="Calibri"/>
      <w:kern w:val="2"/>
      <w:sz w:val="21"/>
      <w:szCs w:val="21"/>
      <w:lang w:val="en-US" w:eastAsia="zh-CN" w:bidi="ar-SA"/>
    </w:rPr>
  </w:style>
  <w:style w:type="paragraph" w:customStyle="1" w:styleId="81">
    <w:name w:val="样式 51 10 磅"/>
    <w:pPr>
      <w:widowControl w:val="0"/>
      <w:jc w:val="both"/>
    </w:pPr>
    <w:rPr>
      <w:rFonts w:ascii="Calibri" w:eastAsia="宋体" w:cs="Calibri" w:hAnsi="Calibri"/>
      <w:kern w:val="2"/>
      <w:sz w:val="21"/>
      <w:szCs w:val="21"/>
      <w:lang w:val="en-US" w:eastAsia="zh-CN" w:bidi="ar-SA"/>
    </w:rPr>
  </w:style>
  <w:style w:type="paragraph" w:customStyle="1" w:styleId="82">
    <w:name w:val="样式 52 10 磅"/>
    <w:pPr>
      <w:widowControl w:val="0"/>
      <w:jc w:val="both"/>
    </w:pPr>
    <w:rPr>
      <w:rFonts w:ascii="Calibri" w:eastAsia="宋体" w:cs="Calibri" w:hAnsi="Calibri"/>
      <w:kern w:val="2"/>
      <w:sz w:val="21"/>
      <w:szCs w:val="21"/>
      <w:lang w:val="en-US" w:eastAsia="zh-CN" w:bidi="ar-SA"/>
    </w:rPr>
  </w:style>
  <w:style w:type="paragraph" w:customStyle="1" w:styleId="83">
    <w:name w:val="样式 53 10 磅"/>
    <w:pPr>
      <w:widowControl w:val="0"/>
      <w:jc w:val="both"/>
    </w:pPr>
    <w:rPr>
      <w:rFonts w:ascii="Calibri" w:eastAsia="宋体" w:cs="Calibri" w:hAnsi="Calibri"/>
      <w:kern w:val="2"/>
      <w:sz w:val="21"/>
      <w:szCs w:val="21"/>
      <w:lang w:val="en-US" w:eastAsia="zh-CN" w:bidi="ar-SA"/>
    </w:rPr>
  </w:style>
  <w:style w:type="paragraph" w:customStyle="1" w:styleId="84">
    <w:name w:val="样式 54 10 磅"/>
    <w:pPr>
      <w:widowControl w:val="0"/>
      <w:jc w:val="both"/>
    </w:pPr>
    <w:rPr>
      <w:rFonts w:ascii="Calibri" w:eastAsia="宋体" w:cs="Calibri" w:hAnsi="Calibri"/>
      <w:kern w:val="2"/>
      <w:sz w:val="21"/>
      <w:szCs w:val="21"/>
      <w:lang w:val="en-US" w:eastAsia="zh-CN" w:bidi="ar-SA"/>
    </w:rPr>
  </w:style>
  <w:style w:type="paragraph" w:customStyle="1" w:styleId="85">
    <w:name w:val="样式 55 10 磅"/>
    <w:pPr>
      <w:widowControl w:val="0"/>
      <w:jc w:val="both"/>
    </w:pPr>
    <w:rPr>
      <w:rFonts w:ascii="Calibri" w:eastAsia="宋体" w:cs="Calibri" w:hAnsi="Calibri"/>
      <w:kern w:val="2"/>
      <w:sz w:val="21"/>
      <w:szCs w:val="21"/>
      <w:lang w:val="en-US" w:eastAsia="zh-CN" w:bidi="ar-SA"/>
    </w:rPr>
  </w:style>
  <w:style w:type="paragraph" w:customStyle="1" w:styleId="86">
    <w:name w:val="样式 56 10 磅"/>
    <w:pPr>
      <w:widowControl w:val="0"/>
      <w:jc w:val="both"/>
    </w:pPr>
    <w:rPr>
      <w:rFonts w:ascii="Calibri" w:eastAsia="宋体" w:cs="Calibri" w:hAnsi="Calibri"/>
      <w:kern w:val="2"/>
      <w:sz w:val="21"/>
      <w:szCs w:val="21"/>
      <w:lang w:val="en-US" w:eastAsia="zh-CN" w:bidi="ar-SA"/>
    </w:rPr>
  </w:style>
  <w:style w:type="paragraph" w:customStyle="1" w:styleId="87">
    <w:name w:val="样式 57 10 磅"/>
    <w:pPr>
      <w:widowControl w:val="0"/>
      <w:jc w:val="both"/>
    </w:pPr>
    <w:rPr>
      <w:rFonts w:ascii="Calibri" w:eastAsia="宋体" w:cs="Calibri" w:hAnsi="Calibri"/>
      <w:kern w:val="2"/>
      <w:sz w:val="21"/>
      <w:szCs w:val="21"/>
      <w:lang w:val="en-US" w:eastAsia="zh-CN" w:bidi="ar-SA"/>
    </w:rPr>
  </w:style>
  <w:style w:type="paragraph" w:customStyle="1" w:styleId="88">
    <w:name w:val="样式 58 10 磅"/>
    <w:pPr>
      <w:widowControl w:val="0"/>
      <w:jc w:val="both"/>
    </w:pPr>
    <w:rPr>
      <w:rFonts w:ascii="Calibri" w:eastAsia="宋体" w:cs="Calibri" w:hAnsi="Calibri"/>
      <w:kern w:val="2"/>
      <w:sz w:val="21"/>
      <w:szCs w:val="21"/>
      <w:lang w:val="en-US" w:eastAsia="zh-CN" w:bidi="ar-SA"/>
    </w:rPr>
  </w:style>
  <w:style w:type="paragraph" w:customStyle="1" w:styleId="89">
    <w:name w:val="样式 59 10 磅"/>
    <w:pPr>
      <w:widowControl w:val="0"/>
      <w:jc w:val="both"/>
    </w:pPr>
    <w:rPr>
      <w:rFonts w:ascii="Calibri" w:eastAsia="宋体" w:cs="Calibri" w:hAnsi="Calibri"/>
      <w:kern w:val="2"/>
      <w:sz w:val="21"/>
      <w:szCs w:val="21"/>
      <w:lang w:val="en-US" w:eastAsia="zh-CN" w:bidi="ar-SA"/>
    </w:rPr>
  </w:style>
  <w:style w:type="paragraph" w:customStyle="1" w:styleId="90">
    <w:name w:val="样式 60 10 磅"/>
    <w:pPr>
      <w:widowControl w:val="0"/>
      <w:jc w:val="both"/>
    </w:pPr>
    <w:rPr>
      <w:rFonts w:ascii="Calibri" w:eastAsia="宋体" w:cs="Calibri" w:hAnsi="Calibri"/>
      <w:kern w:val="2"/>
      <w:sz w:val="21"/>
      <w:szCs w:val="21"/>
      <w:lang w:val="en-US" w:eastAsia="zh-CN" w:bidi="ar-SA"/>
    </w:rPr>
  </w:style>
  <w:style w:type="paragraph" w:customStyle="1" w:styleId="91">
    <w:name w:val="样式 61 10 磅"/>
    <w:pPr>
      <w:widowControl w:val="0"/>
      <w:jc w:val="both"/>
    </w:pPr>
    <w:rPr>
      <w:rFonts w:ascii="Calibri" w:eastAsia="宋体" w:cs="Calibri" w:hAnsi="Calibri"/>
      <w:kern w:val="2"/>
      <w:sz w:val="21"/>
      <w:szCs w:val="21"/>
      <w:lang w:val="en-US" w:eastAsia="zh-CN" w:bidi="ar-SA"/>
    </w:rPr>
  </w:style>
  <w:style w:type="paragraph" w:customStyle="1" w:styleId="92">
    <w:name w:val="样式 62 10 磅"/>
    <w:pPr>
      <w:widowControl w:val="0"/>
      <w:jc w:val="both"/>
    </w:pPr>
    <w:rPr>
      <w:rFonts w:ascii="Calibri" w:eastAsia="宋体" w:cs="Calibri" w:hAnsi="Calibri"/>
      <w:kern w:val="2"/>
      <w:sz w:val="21"/>
      <w:szCs w:val="21"/>
      <w:lang w:val="en-US" w:eastAsia="zh-CN" w:bidi="ar-SA"/>
    </w:rPr>
  </w:style>
  <w:style w:type="paragraph" w:customStyle="1" w:styleId="93">
    <w:name w:val="样式 63 10 磅"/>
    <w:pPr>
      <w:widowControl w:val="0"/>
      <w:jc w:val="both"/>
    </w:pPr>
    <w:rPr>
      <w:rFonts w:ascii="Calibri" w:eastAsia="宋体" w:cs="Calibri" w:hAnsi="Calibri"/>
      <w:kern w:val="2"/>
      <w:sz w:val="21"/>
      <w:szCs w:val="21"/>
      <w:lang w:val="en-US" w:eastAsia="zh-CN" w:bidi="ar-SA"/>
    </w:rPr>
  </w:style>
  <w:style w:type="paragraph" w:customStyle="1" w:styleId="94">
    <w:name w:val="样式 64 10 磅"/>
    <w:pPr>
      <w:widowControl w:val="0"/>
      <w:jc w:val="both"/>
    </w:pPr>
    <w:rPr>
      <w:rFonts w:ascii="Calibri" w:eastAsia="宋体" w:cs="Calibri" w:hAnsi="Calibri"/>
      <w:kern w:val="2"/>
      <w:sz w:val="21"/>
      <w:szCs w:val="21"/>
      <w:lang w:val="en-US" w:eastAsia="zh-CN" w:bidi="ar-SA"/>
    </w:rPr>
  </w:style>
  <w:style w:type="paragraph" w:customStyle="1" w:styleId="95">
    <w:name w:val="样式 65 10 磅"/>
    <w:pPr>
      <w:widowControl w:val="0"/>
      <w:jc w:val="both"/>
    </w:pPr>
    <w:rPr>
      <w:rFonts w:ascii="Calibri" w:eastAsia="宋体" w:cs="Calibri" w:hAnsi="Calibri"/>
      <w:kern w:val="2"/>
      <w:sz w:val="21"/>
      <w:szCs w:val="21"/>
      <w:lang w:val="en-US" w:eastAsia="zh-CN" w:bidi="ar-SA"/>
    </w:rPr>
  </w:style>
  <w:style w:type="paragraph" w:customStyle="1" w:styleId="96">
    <w:name w:val="样式 66 10 磅"/>
    <w:pPr>
      <w:widowControl w:val="0"/>
      <w:jc w:val="both"/>
    </w:pPr>
    <w:rPr>
      <w:rFonts w:ascii="Calibri" w:eastAsia="宋体" w:cs="Calibri" w:hAnsi="Calibri"/>
      <w:kern w:val="2"/>
      <w:sz w:val="21"/>
      <w:szCs w:val="21"/>
      <w:lang w:val="en-US" w:eastAsia="zh-CN" w:bidi="ar-SA"/>
    </w:rPr>
  </w:style>
  <w:style w:type="paragraph" w:customStyle="1" w:styleId="97">
    <w:name w:val="样式 67 10 磅"/>
    <w:pPr>
      <w:widowControl w:val="0"/>
      <w:jc w:val="both"/>
    </w:pPr>
    <w:rPr>
      <w:rFonts w:ascii="Calibri" w:eastAsia="宋体" w:cs="Calibri" w:hAnsi="Calibri"/>
      <w:kern w:val="2"/>
      <w:sz w:val="21"/>
      <w:szCs w:val="21"/>
      <w:lang w:val="en-US" w:eastAsia="zh-CN" w:bidi="ar-SA"/>
    </w:rPr>
  </w:style>
  <w:style w:type="paragraph" w:customStyle="1" w:styleId="98">
    <w:name w:val="样式 68 10 磅"/>
    <w:pPr>
      <w:widowControl w:val="0"/>
      <w:jc w:val="both"/>
    </w:pPr>
    <w:rPr>
      <w:rFonts w:ascii="Calibri" w:eastAsia="宋体" w:cs="Calibri" w:hAnsi="Calibri"/>
      <w:kern w:val="2"/>
      <w:sz w:val="21"/>
      <w:szCs w:val="21"/>
      <w:lang w:val="en-US" w:eastAsia="zh-CN" w:bidi="ar-SA"/>
    </w:rPr>
  </w:style>
  <w:style w:type="paragraph" w:customStyle="1" w:styleId="99">
    <w:name w:val="样式 69 10 磅"/>
    <w:pPr>
      <w:widowControl w:val="0"/>
      <w:jc w:val="both"/>
    </w:pPr>
    <w:rPr>
      <w:rFonts w:ascii="Calibri" w:eastAsia="宋体" w:cs="Calibri" w:hAnsi="Calibri"/>
      <w:kern w:val="2"/>
      <w:sz w:val="21"/>
      <w:szCs w:val="21"/>
      <w:lang w:val="en-US" w:eastAsia="zh-CN" w:bidi="ar-SA"/>
    </w:rPr>
  </w:style>
  <w:style w:type="paragraph" w:customStyle="1" w:styleId="100">
    <w:name w:val="样式 70 10 磅"/>
    <w:pPr>
      <w:widowControl w:val="0"/>
      <w:jc w:val="both"/>
    </w:pPr>
    <w:rPr>
      <w:rFonts w:ascii="Calibri" w:eastAsia="宋体" w:cs="Calibri" w:hAnsi="Calibri"/>
      <w:kern w:val="2"/>
      <w:sz w:val="21"/>
      <w:szCs w:val="21"/>
      <w:lang w:val="en-US" w:eastAsia="zh-CN" w:bidi="ar-SA"/>
    </w:rPr>
  </w:style>
  <w:style w:type="paragraph" w:customStyle="1" w:styleId="101">
    <w:name w:val="样式 71 10 磅"/>
    <w:pPr>
      <w:widowControl w:val="0"/>
      <w:jc w:val="both"/>
    </w:pPr>
    <w:rPr>
      <w:rFonts w:ascii="Calibri" w:eastAsia="宋体" w:cs="Calibri" w:hAnsi="Calibri"/>
      <w:kern w:val="2"/>
      <w:sz w:val="21"/>
      <w:szCs w:val="21"/>
      <w:lang w:val="en-US" w:eastAsia="zh-CN" w:bidi="ar-SA"/>
    </w:rPr>
  </w:style>
  <w:style w:type="paragraph" w:customStyle="1" w:styleId="102">
    <w:name w:val="样式 72 10 磅"/>
    <w:pPr>
      <w:widowControl w:val="0"/>
      <w:jc w:val="both"/>
    </w:pPr>
    <w:rPr>
      <w:rFonts w:ascii="Calibri" w:eastAsia="宋体" w:cs="Calibri" w:hAnsi="Calibri"/>
      <w:kern w:val="2"/>
      <w:sz w:val="21"/>
      <w:szCs w:val="21"/>
      <w:lang w:val="en-US" w:eastAsia="zh-CN" w:bidi="ar-SA"/>
    </w:rPr>
  </w:style>
  <w:style w:type="paragraph" w:customStyle="1" w:styleId="103">
    <w:name w:val="样式 73 10 磅"/>
    <w:pPr>
      <w:widowControl w:val="0"/>
      <w:jc w:val="both"/>
    </w:pPr>
    <w:rPr>
      <w:rFonts w:ascii="Calibri" w:eastAsia="宋体" w:cs="Calibri" w:hAnsi="Calibri"/>
      <w:kern w:val="2"/>
      <w:sz w:val="21"/>
      <w:szCs w:val="21"/>
      <w:lang w:val="en-US" w:eastAsia="zh-CN" w:bidi="ar-SA"/>
    </w:rPr>
  </w:style>
  <w:style w:type="paragraph" w:customStyle="1" w:styleId="104">
    <w:name w:val="样式 74 10 磅"/>
    <w:pPr>
      <w:widowControl w:val="0"/>
      <w:jc w:val="both"/>
    </w:pPr>
    <w:rPr>
      <w:rFonts w:ascii="Calibri" w:eastAsia="宋体" w:cs="Calibri" w:hAnsi="Calibri"/>
      <w:kern w:val="2"/>
      <w:sz w:val="21"/>
      <w:szCs w:val="21"/>
      <w:lang w:val="en-US" w:eastAsia="zh-CN" w:bidi="ar-SA"/>
    </w:rPr>
  </w:style>
  <w:style w:type="paragraph" w:customStyle="1" w:styleId="105">
    <w:name w:val="样式 75 10 磅"/>
    <w:pPr>
      <w:widowControl w:val="0"/>
      <w:jc w:val="both"/>
    </w:pPr>
    <w:rPr>
      <w:rFonts w:ascii="Calibri" w:eastAsia="宋体" w:cs="Calibri" w:hAnsi="Calibri"/>
      <w:kern w:val="2"/>
      <w:sz w:val="21"/>
      <w:szCs w:val="21"/>
      <w:lang w:val="en-US" w:eastAsia="zh-CN" w:bidi="ar-SA"/>
    </w:rPr>
  </w:style>
  <w:style w:type="paragraph" w:customStyle="1" w:styleId="106">
    <w:name w:val="样式 76 10 磅"/>
    <w:pPr>
      <w:widowControl w:val="0"/>
      <w:jc w:val="both"/>
    </w:pPr>
    <w:rPr>
      <w:rFonts w:ascii="Calibri" w:eastAsia="宋体" w:cs="Calibri" w:hAnsi="Calibri"/>
      <w:kern w:val="2"/>
      <w:sz w:val="21"/>
      <w:szCs w:val="21"/>
      <w:lang w:val="en-US" w:eastAsia="zh-CN" w:bidi="ar-SA"/>
    </w:rPr>
  </w:style>
  <w:style w:type="paragraph" w:customStyle="1" w:styleId="107">
    <w:name w:val="样式 77 10 磅"/>
    <w:pPr>
      <w:widowControl w:val="0"/>
      <w:jc w:val="both"/>
    </w:pPr>
    <w:rPr>
      <w:rFonts w:ascii="Calibri" w:eastAsia="宋体" w:cs="Calibri" w:hAnsi="Calibri"/>
      <w:kern w:val="2"/>
      <w:sz w:val="21"/>
      <w:szCs w:val="21"/>
      <w:lang w:val="en-US" w:eastAsia="zh-CN" w:bidi="ar-SA"/>
    </w:rPr>
  </w:style>
  <w:style w:type="paragraph" w:customStyle="1" w:styleId="108">
    <w:name w:val="样式 78 10 磅"/>
    <w:pPr>
      <w:widowControl w:val="0"/>
      <w:jc w:val="both"/>
    </w:pPr>
    <w:rPr>
      <w:rFonts w:ascii="Calibri" w:eastAsia="宋体" w:cs="Calibri" w:hAnsi="Calibri"/>
      <w:kern w:val="2"/>
      <w:sz w:val="21"/>
      <w:szCs w:val="21"/>
      <w:lang w:val="en-US" w:eastAsia="zh-CN" w:bidi="ar-SA"/>
    </w:rPr>
  </w:style>
  <w:style w:type="paragraph" w:customStyle="1" w:styleId="109">
    <w:name w:val="样式 79 10 磅"/>
    <w:pPr>
      <w:widowControl w:val="0"/>
      <w:jc w:val="both"/>
    </w:pPr>
    <w:rPr>
      <w:rFonts w:ascii="Calibri" w:eastAsia="宋体" w:cs="Calibri" w:hAnsi="Calibri"/>
      <w:kern w:val="2"/>
      <w:sz w:val="21"/>
      <w:szCs w:val="21"/>
      <w:lang w:val="en-US" w:eastAsia="zh-CN" w:bidi="ar-SA"/>
    </w:rPr>
  </w:style>
  <w:style w:type="paragraph" w:customStyle="1" w:styleId="110">
    <w:name w:val="样式 80 10 磅"/>
    <w:pPr>
      <w:widowControl w:val="0"/>
      <w:jc w:val="both"/>
    </w:pPr>
    <w:rPr>
      <w:rFonts w:ascii="Calibri" w:eastAsia="宋体" w:cs="Calibri" w:hAnsi="Calibri"/>
      <w:kern w:val="2"/>
      <w:sz w:val="21"/>
      <w:szCs w:val="21"/>
      <w:lang w:val="en-US" w:eastAsia="zh-CN" w:bidi="ar-SA"/>
    </w:rPr>
  </w:style>
  <w:style w:type="paragraph" w:customStyle="1" w:styleId="111">
    <w:name w:val="样式 81 10 磅"/>
    <w:pPr>
      <w:widowControl w:val="0"/>
      <w:jc w:val="both"/>
    </w:pPr>
    <w:rPr>
      <w:rFonts w:ascii="Calibri" w:eastAsia="宋体" w:cs="Calibri" w:hAnsi="Calibri"/>
      <w:kern w:val="2"/>
      <w:sz w:val="21"/>
      <w:szCs w:val="21"/>
      <w:lang w:val="en-US" w:eastAsia="zh-CN" w:bidi="ar-SA"/>
    </w:rPr>
  </w:style>
  <w:style w:type="paragraph" w:customStyle="1" w:styleId="112">
    <w:name w:val="样式 82 10 磅"/>
    <w:pPr>
      <w:widowControl w:val="0"/>
      <w:jc w:val="both"/>
    </w:pPr>
    <w:rPr>
      <w:rFonts w:ascii="Calibri" w:eastAsia="宋体" w:cs="Calibri" w:hAnsi="Calibri"/>
      <w:kern w:val="2"/>
      <w:sz w:val="21"/>
      <w:szCs w:val="21"/>
      <w:lang w:val="en-US" w:eastAsia="zh-CN" w:bidi="ar-SA"/>
    </w:rPr>
  </w:style>
  <w:style w:type="paragraph" w:customStyle="1" w:styleId="113">
    <w:name w:val="样式 83 10 磅"/>
    <w:pPr>
      <w:widowControl w:val="0"/>
      <w:jc w:val="both"/>
    </w:pPr>
    <w:rPr>
      <w:rFonts w:ascii="Calibri" w:eastAsia="宋体" w:cs="Calibri" w:hAnsi="Calibri"/>
      <w:kern w:val="2"/>
      <w:sz w:val="21"/>
      <w:szCs w:val="21"/>
      <w:lang w:val="en-US" w:eastAsia="zh-CN" w:bidi="ar-SA"/>
    </w:rPr>
  </w:style>
  <w:style w:type="paragraph" w:customStyle="1" w:styleId="114">
    <w:name w:val="样式 84 10 磅"/>
    <w:pPr>
      <w:widowControl w:val="0"/>
      <w:jc w:val="both"/>
    </w:pPr>
    <w:rPr>
      <w:rFonts w:ascii="Calibri" w:eastAsia="宋体" w:cs="Calibri" w:hAnsi="Calibri"/>
      <w:kern w:val="2"/>
      <w:sz w:val="21"/>
      <w:szCs w:val="21"/>
      <w:lang w:val="en-US" w:eastAsia="zh-CN" w:bidi="ar-SA"/>
    </w:rPr>
  </w:style>
  <w:style w:type="paragraph" w:customStyle="1" w:styleId="115">
    <w:name w:val="样式 85 10 磅"/>
    <w:pPr>
      <w:widowControl w:val="0"/>
      <w:jc w:val="both"/>
    </w:pPr>
    <w:rPr>
      <w:rFonts w:ascii="Calibri" w:eastAsia="宋体" w:cs="Calibri" w:hAnsi="Calibri"/>
      <w:kern w:val="2"/>
      <w:sz w:val="21"/>
      <w:szCs w:val="21"/>
      <w:lang w:val="en-US" w:eastAsia="zh-CN" w:bidi="ar-SA"/>
    </w:rPr>
  </w:style>
  <w:style w:type="paragraph" w:customStyle="1" w:styleId="116">
    <w:name w:val="样式 86 10 磅"/>
    <w:pPr>
      <w:widowControl w:val="0"/>
      <w:jc w:val="both"/>
    </w:pPr>
    <w:rPr>
      <w:rFonts w:ascii="Calibri" w:eastAsia="宋体" w:cs="Calibri" w:hAnsi="Calibri"/>
      <w:kern w:val="2"/>
      <w:sz w:val="21"/>
      <w:szCs w:val="21"/>
      <w:lang w:val="en-US" w:eastAsia="zh-CN" w:bidi="ar-SA"/>
    </w:rPr>
  </w:style>
  <w:style w:type="paragraph" w:customStyle="1" w:styleId="117">
    <w:name w:val="样式 87 10 磅"/>
    <w:pPr>
      <w:widowControl w:val="0"/>
      <w:jc w:val="both"/>
    </w:pPr>
    <w:rPr>
      <w:rFonts w:ascii="Calibri" w:eastAsia="宋体" w:cs="Calibri" w:hAnsi="Calibri"/>
      <w:kern w:val="2"/>
      <w:sz w:val="21"/>
      <w:szCs w:val="21"/>
      <w:lang w:val="en-US" w:eastAsia="zh-CN" w:bidi="ar-SA"/>
    </w:rPr>
  </w:style>
  <w:style w:type="paragraph" w:customStyle="1" w:styleId="118">
    <w:name w:val="样式 88 10 磅"/>
    <w:pPr>
      <w:widowControl w:val="0"/>
      <w:jc w:val="both"/>
    </w:pPr>
    <w:rPr>
      <w:rFonts w:ascii="Calibri" w:eastAsia="宋体" w:cs="Calibri" w:hAnsi="Calibri"/>
      <w:kern w:val="2"/>
      <w:sz w:val="21"/>
      <w:szCs w:val="21"/>
      <w:lang w:val="en-US" w:eastAsia="zh-CN" w:bidi="ar-SA"/>
    </w:rPr>
  </w:style>
  <w:style w:type="paragraph" w:customStyle="1" w:styleId="119">
    <w:name w:val="样式 89 10 磅"/>
    <w:pPr>
      <w:widowControl w:val="0"/>
      <w:jc w:val="both"/>
    </w:pPr>
    <w:rPr>
      <w:rFonts w:ascii="Calibri" w:eastAsia="宋体" w:cs="Calibri" w:hAnsi="Calibri"/>
      <w:kern w:val="2"/>
      <w:sz w:val="21"/>
      <w:szCs w:val="21"/>
      <w:lang w:val="en-US" w:eastAsia="zh-CN" w:bidi="ar-SA"/>
    </w:rPr>
  </w:style>
  <w:style w:type="paragraph" w:customStyle="1" w:styleId="120">
    <w:name w:val="样式 90 10 磅"/>
    <w:pPr>
      <w:widowControl w:val="0"/>
      <w:jc w:val="both"/>
    </w:pPr>
    <w:rPr>
      <w:rFonts w:ascii="Calibri" w:eastAsia="宋体" w:cs="Calibri" w:hAnsi="Calibri"/>
      <w:kern w:val="2"/>
      <w:sz w:val="21"/>
      <w:szCs w:val="21"/>
      <w:lang w:val="en-US" w:eastAsia="zh-CN" w:bidi="ar-SA"/>
    </w:rPr>
  </w:style>
  <w:style w:type="paragraph" w:customStyle="1" w:styleId="121">
    <w:name w:val="样式 91 10 磅"/>
    <w:pPr>
      <w:widowControl w:val="0"/>
      <w:jc w:val="both"/>
    </w:pPr>
    <w:rPr>
      <w:rFonts w:ascii="Calibri" w:eastAsia="宋体" w:cs="Calibri" w:hAnsi="Calibri"/>
      <w:kern w:val="2"/>
      <w:sz w:val="21"/>
      <w:szCs w:val="21"/>
      <w:lang w:val="en-US" w:eastAsia="zh-CN" w:bidi="ar-SA"/>
    </w:rPr>
  </w:style>
  <w:style w:type="paragraph" w:customStyle="1" w:styleId="122">
    <w:name w:val="样式 92 10 磅"/>
    <w:pPr>
      <w:widowControl w:val="0"/>
      <w:jc w:val="both"/>
    </w:pPr>
    <w:rPr>
      <w:rFonts w:ascii="Calibri" w:eastAsia="宋体" w:cs="Calibri" w:hAnsi="Calibri"/>
      <w:kern w:val="2"/>
      <w:sz w:val="21"/>
      <w:szCs w:val="21"/>
      <w:lang w:val="en-US" w:eastAsia="zh-CN" w:bidi="ar-SA"/>
    </w:rPr>
  </w:style>
  <w:style w:type="paragraph" w:customStyle="1" w:styleId="123">
    <w:name w:val="样式 93 10 磅"/>
    <w:pPr>
      <w:widowControl w:val="0"/>
      <w:jc w:val="both"/>
    </w:pPr>
    <w:rPr>
      <w:rFonts w:ascii="Calibri" w:eastAsia="宋体" w:cs="Calibri" w:hAnsi="Calibri"/>
      <w:kern w:val="2"/>
      <w:sz w:val="21"/>
      <w:szCs w:val="21"/>
      <w:lang w:val="en-US" w:eastAsia="zh-CN" w:bidi="ar-SA"/>
    </w:rPr>
  </w:style>
  <w:style w:type="paragraph" w:customStyle="1" w:styleId="124">
    <w:name w:val="样式 94 10 磅"/>
    <w:pPr>
      <w:widowControl w:val="0"/>
      <w:jc w:val="both"/>
    </w:pPr>
    <w:rPr>
      <w:rFonts w:ascii="Calibri" w:eastAsia="宋体" w:cs="Calibri" w:hAnsi="Calibri"/>
      <w:kern w:val="2"/>
      <w:sz w:val="21"/>
      <w:szCs w:val="21"/>
      <w:lang w:val="en-US" w:eastAsia="zh-CN" w:bidi="ar-SA"/>
    </w:rPr>
  </w:style>
  <w:style w:type="paragraph" w:customStyle="1" w:styleId="125">
    <w:name w:val="样式 95 10 磅"/>
    <w:pPr>
      <w:widowControl w:val="0"/>
      <w:jc w:val="both"/>
    </w:pPr>
    <w:rPr>
      <w:rFonts w:ascii="Calibri" w:eastAsia="宋体" w:cs="Calibri" w:hAnsi="Calibri"/>
      <w:kern w:val="2"/>
      <w:sz w:val="21"/>
      <w:szCs w:val="21"/>
      <w:lang w:val="en-US" w:eastAsia="zh-CN" w:bidi="ar-SA"/>
    </w:rPr>
  </w:style>
  <w:style w:type="paragraph" w:customStyle="1" w:styleId="126">
    <w:name w:val="样式 96 10 磅"/>
    <w:pPr>
      <w:widowControl w:val="0"/>
      <w:jc w:val="both"/>
    </w:pPr>
    <w:rPr>
      <w:rFonts w:ascii="Calibri" w:eastAsia="宋体" w:cs="Calibri" w:hAnsi="Calibri"/>
      <w:kern w:val="2"/>
      <w:sz w:val="21"/>
      <w:szCs w:val="21"/>
      <w:lang w:val="en-US" w:eastAsia="zh-CN" w:bidi="ar-SA"/>
    </w:rPr>
  </w:style>
  <w:style w:type="paragraph" w:customStyle="1" w:styleId="127">
    <w:name w:val="样式 97 10 磅"/>
    <w:pPr>
      <w:widowControl w:val="0"/>
      <w:jc w:val="both"/>
    </w:pPr>
    <w:rPr>
      <w:rFonts w:ascii="Calibri" w:eastAsia="宋体" w:cs="Calibri" w:hAnsi="Calibri"/>
      <w:kern w:val="2"/>
      <w:sz w:val="21"/>
      <w:szCs w:val="21"/>
      <w:lang w:val="en-US" w:eastAsia="zh-CN" w:bidi="ar-SA"/>
    </w:rPr>
  </w:style>
  <w:style w:type="paragraph" w:customStyle="1" w:styleId="128">
    <w:name w:val="样式 98 10 磅"/>
    <w:pPr>
      <w:widowControl w:val="0"/>
      <w:jc w:val="both"/>
    </w:pPr>
    <w:rPr>
      <w:rFonts w:ascii="Calibri" w:eastAsia="宋体" w:cs="Calibri" w:hAnsi="Calibri"/>
      <w:kern w:val="2"/>
      <w:sz w:val="21"/>
      <w:szCs w:val="21"/>
      <w:lang w:val="en-US" w:eastAsia="zh-CN" w:bidi="ar-SA"/>
    </w:rPr>
  </w:style>
  <w:style w:type="paragraph" w:customStyle="1" w:styleId="129">
    <w:name w:val="样式 99 10 磅"/>
    <w:pPr>
      <w:widowControl w:val="0"/>
      <w:jc w:val="both"/>
    </w:pPr>
    <w:rPr>
      <w:rFonts w:ascii="Calibri" w:eastAsia="宋体" w:cs="Calibri" w:hAnsi="Calibri"/>
      <w:kern w:val="2"/>
      <w:sz w:val="21"/>
      <w:szCs w:val="21"/>
      <w:lang w:val="en-US" w:eastAsia="zh-CN" w:bidi="ar-SA"/>
    </w:rPr>
  </w:style>
  <w:style w:type="paragraph" w:customStyle="1" w:styleId="130">
    <w:name w:val="样式 100 10 磅"/>
    <w:pPr>
      <w:widowControl w:val="0"/>
      <w:jc w:val="both"/>
    </w:pPr>
    <w:rPr>
      <w:rFonts w:ascii="Calibri" w:eastAsia="宋体" w:cs="Calibri" w:hAnsi="Calibri"/>
      <w:kern w:val="2"/>
      <w:sz w:val="21"/>
      <w:szCs w:val="21"/>
      <w:lang w:val="en-US" w:eastAsia="zh-CN" w:bidi="ar-SA"/>
    </w:rPr>
  </w:style>
  <w:style w:type="paragraph" w:customStyle="1" w:styleId="131">
    <w:name w:val="样式 101 10 磅"/>
    <w:pPr>
      <w:widowControl w:val="0"/>
      <w:jc w:val="both"/>
    </w:pPr>
    <w:rPr>
      <w:rFonts w:ascii="Calibri" w:eastAsia="宋体" w:cs="Calibri" w:hAnsi="Calibri"/>
      <w:kern w:val="2"/>
      <w:sz w:val="21"/>
      <w:szCs w:val="21"/>
      <w:lang w:val="en-US" w:eastAsia="zh-CN" w:bidi="ar-SA"/>
    </w:rPr>
  </w:style>
  <w:style w:type="paragraph" w:customStyle="1" w:styleId="132">
    <w:name w:val="样式 102 10 磅"/>
    <w:pPr>
      <w:widowControl w:val="0"/>
      <w:jc w:val="both"/>
    </w:pPr>
    <w:rPr>
      <w:rFonts w:ascii="Calibri" w:eastAsia="宋体" w:cs="Calibri" w:hAnsi="Calibri"/>
      <w:kern w:val="2"/>
      <w:sz w:val="21"/>
      <w:szCs w:val="21"/>
      <w:lang w:val="en-US" w:eastAsia="zh-CN" w:bidi="ar-SA"/>
    </w:rPr>
  </w:style>
  <w:style w:type="paragraph" w:customStyle="1" w:styleId="133">
    <w:name w:val="样式 103 10 磅"/>
    <w:pPr>
      <w:widowControl w:val="0"/>
      <w:jc w:val="both"/>
    </w:pPr>
    <w:rPr>
      <w:rFonts w:ascii="Calibri" w:eastAsia="宋体" w:cs="Calibri" w:hAnsi="Calibri"/>
      <w:kern w:val="2"/>
      <w:sz w:val="21"/>
      <w:szCs w:val="21"/>
      <w:lang w:val="en-US" w:eastAsia="zh-CN" w:bidi="ar-SA"/>
    </w:rPr>
  </w:style>
  <w:style w:type="paragraph" w:customStyle="1" w:styleId="134">
    <w:name w:val="样式 104 10 磅"/>
    <w:pPr>
      <w:widowControl w:val="0"/>
      <w:jc w:val="both"/>
    </w:pPr>
    <w:rPr>
      <w:rFonts w:ascii="Calibri" w:eastAsia="宋体" w:cs="Calibri" w:hAnsi="Calibri"/>
      <w:kern w:val="2"/>
      <w:sz w:val="21"/>
      <w:szCs w:val="21"/>
      <w:lang w:val="en-US" w:eastAsia="zh-CN" w:bidi="ar-SA"/>
    </w:rPr>
  </w:style>
  <w:style w:type="paragraph" w:customStyle="1" w:styleId="135">
    <w:name w:val="样式 105 10 磅"/>
    <w:pPr>
      <w:widowControl w:val="0"/>
      <w:jc w:val="both"/>
    </w:pPr>
    <w:rPr>
      <w:rFonts w:ascii="Calibri" w:eastAsia="宋体" w:cs="Calibri" w:hAnsi="Calibri"/>
      <w:kern w:val="2"/>
      <w:sz w:val="21"/>
      <w:szCs w:val="21"/>
      <w:lang w:val="en-US" w:eastAsia="zh-CN" w:bidi="ar-SA"/>
    </w:rPr>
  </w:style>
  <w:style w:type="paragraph" w:customStyle="1" w:styleId="136">
    <w:name w:val="样式 106 10 磅"/>
    <w:pPr>
      <w:widowControl w:val="0"/>
      <w:jc w:val="both"/>
    </w:pPr>
    <w:rPr>
      <w:rFonts w:ascii="Calibri" w:eastAsia="宋体" w:cs="Calibri" w:hAnsi="Calibri"/>
      <w:kern w:val="2"/>
      <w:sz w:val="21"/>
      <w:szCs w:val="21"/>
      <w:lang w:val="en-US" w:eastAsia="zh-CN" w:bidi="ar-SA"/>
    </w:rPr>
  </w:style>
  <w:style w:type="paragraph" w:customStyle="1" w:styleId="137">
    <w:name w:val="样式 107 10 磅"/>
    <w:pPr>
      <w:widowControl w:val="0"/>
      <w:jc w:val="both"/>
    </w:pPr>
    <w:rPr>
      <w:rFonts w:ascii="Calibri" w:eastAsia="宋体" w:cs="Calibri" w:hAnsi="Calibri"/>
      <w:kern w:val="2"/>
      <w:sz w:val="21"/>
      <w:szCs w:val="21"/>
      <w:lang w:val="en-US" w:eastAsia="zh-CN" w:bidi="ar-SA"/>
    </w:rPr>
  </w:style>
  <w:style w:type="paragraph" w:customStyle="1" w:styleId="138">
    <w:name w:val="样式 108 10 磅"/>
    <w:pPr>
      <w:widowControl w:val="0"/>
      <w:jc w:val="both"/>
    </w:pPr>
    <w:rPr>
      <w:rFonts w:ascii="Calibri" w:eastAsia="宋体" w:cs="Calibri" w:hAnsi="Calibri"/>
      <w:kern w:val="2"/>
      <w:sz w:val="21"/>
      <w:szCs w:val="21"/>
      <w:lang w:val="en-US" w:eastAsia="zh-CN" w:bidi="ar-SA"/>
    </w:rPr>
  </w:style>
  <w:style w:type="paragraph" w:customStyle="1" w:styleId="139">
    <w:name w:val="样式 109 10 磅"/>
    <w:pPr>
      <w:widowControl w:val="0"/>
      <w:jc w:val="both"/>
    </w:pPr>
    <w:rPr>
      <w:rFonts w:ascii="Calibri" w:eastAsia="宋体" w:cs="Calibri" w:hAnsi="Calibri"/>
      <w:kern w:val="2"/>
      <w:sz w:val="21"/>
      <w:szCs w:val="21"/>
      <w:lang w:val="en-US" w:eastAsia="zh-CN" w:bidi="ar-SA"/>
    </w:rPr>
  </w:style>
  <w:style w:type="paragraph" w:customStyle="1" w:styleId="140">
    <w:name w:val="样式 110 10 磅"/>
    <w:pPr>
      <w:widowControl w:val="0"/>
      <w:jc w:val="both"/>
    </w:pPr>
    <w:rPr>
      <w:rFonts w:ascii="Calibri" w:eastAsia="宋体" w:cs="Calibri" w:hAnsi="Calibri"/>
      <w:kern w:val="2"/>
      <w:sz w:val="21"/>
      <w:szCs w:val="21"/>
      <w:lang w:val="en-US" w:eastAsia="zh-CN" w:bidi="ar-SA"/>
    </w:rPr>
  </w:style>
  <w:style w:type="paragraph" w:customStyle="1" w:styleId="141">
    <w:name w:val="样式 111 10 磅"/>
    <w:pPr>
      <w:widowControl w:val="0"/>
      <w:jc w:val="both"/>
    </w:pPr>
    <w:rPr>
      <w:rFonts w:ascii="Calibri" w:eastAsia="宋体" w:cs="Calibri" w:hAnsi="Calibri"/>
      <w:kern w:val="2"/>
      <w:sz w:val="21"/>
      <w:szCs w:val="21"/>
      <w:lang w:val="en-US" w:eastAsia="zh-CN" w:bidi="ar-SA"/>
    </w:rPr>
  </w:style>
  <w:style w:type="paragraph" w:customStyle="1" w:styleId="142">
    <w:name w:val="样式 112 10 磅"/>
    <w:pPr>
      <w:widowControl w:val="0"/>
      <w:jc w:val="both"/>
    </w:pPr>
    <w:rPr>
      <w:rFonts w:ascii="Calibri" w:eastAsia="宋体" w:cs="Calibri" w:hAnsi="Calibri"/>
      <w:kern w:val="2"/>
      <w:sz w:val="21"/>
      <w:szCs w:val="21"/>
      <w:lang w:val="en-US" w:eastAsia="zh-CN" w:bidi="ar-SA"/>
    </w:rPr>
  </w:style>
  <w:style w:type="paragraph" w:customStyle="1" w:styleId="143">
    <w:name w:val="样式 113 10 磅"/>
    <w:pPr>
      <w:widowControl w:val="0"/>
      <w:jc w:val="both"/>
    </w:pPr>
    <w:rPr>
      <w:rFonts w:ascii="Calibri" w:eastAsia="宋体" w:cs="Calibri" w:hAnsi="Calibri"/>
      <w:kern w:val="2"/>
      <w:sz w:val="21"/>
      <w:szCs w:val="21"/>
      <w:lang w:val="en-US" w:eastAsia="zh-CN" w:bidi="ar-SA"/>
    </w:rPr>
  </w:style>
  <w:style w:type="paragraph" w:customStyle="1" w:styleId="144">
    <w:name w:val="样式 114 10 磅"/>
    <w:pPr>
      <w:widowControl w:val="0"/>
      <w:jc w:val="both"/>
    </w:pPr>
    <w:rPr>
      <w:rFonts w:ascii="Calibri" w:eastAsia="宋体" w:cs="Calibri" w:hAnsi="Calibri"/>
      <w:kern w:val="2"/>
      <w:sz w:val="21"/>
      <w:szCs w:val="21"/>
      <w:lang w:val="en-US" w:eastAsia="zh-CN" w:bidi="ar-SA"/>
    </w:rPr>
  </w:style>
  <w:style w:type="paragraph" w:customStyle="1" w:styleId="145">
    <w:name w:val="样式 115 10 磅"/>
    <w:pPr>
      <w:widowControl w:val="0"/>
      <w:jc w:val="both"/>
    </w:pPr>
    <w:rPr>
      <w:rFonts w:ascii="Calibri" w:eastAsia="宋体" w:cs="Calibri" w:hAnsi="Calibri"/>
      <w:kern w:val="2"/>
      <w:sz w:val="21"/>
      <w:szCs w:val="21"/>
      <w:lang w:val="en-US" w:eastAsia="zh-CN" w:bidi="ar-SA"/>
    </w:rPr>
  </w:style>
  <w:style w:type="paragraph" w:customStyle="1" w:styleId="146">
    <w:name w:val="样式 116 10 磅"/>
    <w:pPr>
      <w:widowControl w:val="0"/>
      <w:jc w:val="both"/>
    </w:pPr>
    <w:rPr>
      <w:rFonts w:ascii="Calibri" w:eastAsia="宋体" w:cs="Calibri" w:hAnsi="Calibri"/>
      <w:kern w:val="2"/>
      <w:sz w:val="21"/>
      <w:szCs w:val="21"/>
      <w:lang w:val="en-US" w:eastAsia="zh-CN" w:bidi="ar-SA"/>
    </w:rPr>
  </w:style>
  <w:style w:type="paragraph" w:customStyle="1" w:styleId="147">
    <w:name w:val="样式 117 10 磅"/>
    <w:pPr>
      <w:widowControl w:val="0"/>
      <w:jc w:val="both"/>
    </w:pPr>
    <w:rPr>
      <w:rFonts w:ascii="Calibri" w:eastAsia="宋体" w:cs="Calibri" w:hAnsi="Calibri"/>
      <w:kern w:val="2"/>
      <w:sz w:val="21"/>
      <w:szCs w:val="21"/>
      <w:lang w:val="en-US" w:eastAsia="zh-CN" w:bidi="ar-SA"/>
    </w:rPr>
  </w:style>
  <w:style w:type="paragraph" w:customStyle="1" w:styleId="148">
    <w:name w:val="样式 118 10 磅"/>
    <w:pPr>
      <w:widowControl w:val="0"/>
      <w:jc w:val="both"/>
    </w:pPr>
    <w:rPr>
      <w:rFonts w:ascii="Calibri" w:eastAsia="宋体" w:cs="Calibri" w:hAnsi="Calibri"/>
      <w:kern w:val="2"/>
      <w:sz w:val="21"/>
      <w:szCs w:val="21"/>
      <w:lang w:val="en-US" w:eastAsia="zh-CN" w:bidi="ar-SA"/>
    </w:rPr>
  </w:style>
  <w:style w:type="paragraph" w:customStyle="1" w:styleId="149">
    <w:name w:val="样式 119 10 磅"/>
    <w:pPr>
      <w:widowControl w:val="0"/>
      <w:jc w:val="both"/>
    </w:pPr>
    <w:rPr>
      <w:rFonts w:ascii="Calibri" w:eastAsia="宋体" w:cs="Calibri" w:hAnsi="Calibri"/>
      <w:kern w:val="2"/>
      <w:sz w:val="21"/>
      <w:szCs w:val="21"/>
      <w:lang w:val="en-US" w:eastAsia="zh-CN" w:bidi="ar-SA"/>
    </w:rPr>
  </w:style>
  <w:style w:type="paragraph" w:customStyle="1" w:styleId="150">
    <w:name w:val="样式 120 10 磅"/>
    <w:pPr>
      <w:widowControl w:val="0"/>
      <w:jc w:val="both"/>
    </w:pPr>
    <w:rPr>
      <w:rFonts w:ascii="Calibri" w:eastAsia="宋体" w:cs="Calibri" w:hAnsi="Calibri"/>
      <w:kern w:val="2"/>
      <w:sz w:val="21"/>
      <w:szCs w:val="21"/>
      <w:lang w:val="en-US" w:eastAsia="zh-CN" w:bidi="ar-SA"/>
    </w:rPr>
  </w:style>
  <w:style w:type="paragraph" w:customStyle="1" w:styleId="151">
    <w:name w:val="样式 121 10 磅"/>
    <w:pPr>
      <w:widowControl w:val="0"/>
      <w:jc w:val="both"/>
    </w:pPr>
    <w:rPr>
      <w:rFonts w:ascii="Calibri" w:eastAsia="宋体" w:cs="Calibri" w:hAnsi="Calibri"/>
      <w:kern w:val="2"/>
      <w:sz w:val="21"/>
      <w:szCs w:val="21"/>
      <w:lang w:val="en-US" w:eastAsia="zh-CN" w:bidi="ar-SA"/>
    </w:rPr>
  </w:style>
  <w:style w:type="paragraph" w:customStyle="1" w:styleId="152">
    <w:name w:val="样式 122 10 磅"/>
    <w:pPr>
      <w:widowControl w:val="0"/>
      <w:jc w:val="both"/>
    </w:pPr>
    <w:rPr>
      <w:rFonts w:ascii="Calibri" w:eastAsia="宋体" w:cs="Calibri" w:hAnsi="Calibri"/>
      <w:kern w:val="2"/>
      <w:sz w:val="21"/>
      <w:szCs w:val="21"/>
      <w:lang w:val="en-US" w:eastAsia="zh-CN" w:bidi="ar-SA"/>
    </w:rPr>
  </w:style>
  <w:style w:type="paragraph" w:customStyle="1" w:styleId="153">
    <w:name w:val="样式 123 10 磅"/>
    <w:pPr>
      <w:widowControl w:val="0"/>
      <w:jc w:val="both"/>
    </w:pPr>
    <w:rPr>
      <w:rFonts w:ascii="Calibri" w:eastAsia="宋体" w:cs="Calibri" w:hAnsi="Calibri"/>
      <w:kern w:val="2"/>
      <w:sz w:val="21"/>
      <w:szCs w:val="21"/>
      <w:lang w:val="en-US" w:eastAsia="zh-CN" w:bidi="ar-SA"/>
    </w:rPr>
  </w:style>
  <w:style w:type="paragraph" w:customStyle="1" w:styleId="154">
    <w:name w:val="样式 124 10 磅"/>
    <w:pPr>
      <w:widowControl w:val="0"/>
      <w:jc w:val="both"/>
    </w:pPr>
    <w:rPr>
      <w:rFonts w:ascii="Calibri" w:eastAsia="宋体" w:cs="Calibri" w:hAnsi="Calibri"/>
      <w:kern w:val="2"/>
      <w:sz w:val="21"/>
      <w:szCs w:val="21"/>
      <w:lang w:val="en-US" w:eastAsia="zh-CN" w:bidi="ar-SA"/>
    </w:rPr>
  </w:style>
  <w:style w:type="paragraph" w:customStyle="1" w:styleId="155">
    <w:name w:val="样式 125 10 磅"/>
    <w:pPr>
      <w:widowControl w:val="0"/>
      <w:jc w:val="both"/>
    </w:pPr>
    <w:rPr>
      <w:rFonts w:ascii="Calibri" w:eastAsia="宋体" w:cs="Calibri" w:hAnsi="Calibri"/>
      <w:kern w:val="2"/>
      <w:sz w:val="21"/>
      <w:szCs w:val="21"/>
      <w:lang w:val="en-US" w:eastAsia="zh-CN" w:bidi="ar-SA"/>
    </w:rPr>
  </w:style>
  <w:style w:type="paragraph" w:customStyle="1" w:styleId="156">
    <w:name w:val="样式 126 10 磅"/>
    <w:pPr>
      <w:widowControl w:val="0"/>
      <w:jc w:val="both"/>
    </w:pPr>
    <w:rPr>
      <w:rFonts w:ascii="Calibri" w:eastAsia="宋体" w:cs="Calibri" w:hAnsi="Calibri"/>
      <w:kern w:val="2"/>
      <w:sz w:val="21"/>
      <w:szCs w:val="21"/>
      <w:lang w:val="en-US" w:eastAsia="zh-CN" w:bidi="ar-SA"/>
    </w:rPr>
  </w:style>
  <w:style w:type="paragraph" w:customStyle="1" w:styleId="157">
    <w:name w:val="样式 127 10 磅"/>
    <w:pPr>
      <w:widowControl w:val="0"/>
      <w:jc w:val="both"/>
    </w:pPr>
    <w:rPr>
      <w:rFonts w:ascii="Calibri" w:eastAsia="宋体" w:cs="Calibri" w:hAnsi="Calibri"/>
      <w:kern w:val="2"/>
      <w:sz w:val="21"/>
      <w:szCs w:val="21"/>
      <w:lang w:val="en-US" w:eastAsia="zh-CN" w:bidi="ar-SA"/>
    </w:rPr>
  </w:style>
  <w:style w:type="paragraph" w:customStyle="1" w:styleId="158">
    <w:name w:val="样式 128 10 磅"/>
    <w:pPr>
      <w:widowControl w:val="0"/>
      <w:jc w:val="both"/>
    </w:pPr>
    <w:rPr>
      <w:rFonts w:ascii="Calibri" w:eastAsia="宋体" w:cs="Calibri" w:hAnsi="Calibri"/>
      <w:kern w:val="2"/>
      <w:sz w:val="21"/>
      <w:szCs w:val="21"/>
      <w:lang w:val="en-US" w:eastAsia="zh-CN" w:bidi="ar-SA"/>
    </w:rPr>
  </w:style>
  <w:style w:type="paragraph" w:customStyle="1" w:styleId="159">
    <w:name w:val="样式 129 10 磅"/>
    <w:pPr>
      <w:widowControl w:val="0"/>
      <w:jc w:val="both"/>
    </w:pPr>
    <w:rPr>
      <w:rFonts w:ascii="Calibri" w:eastAsia="宋体" w:cs="Calibri" w:hAnsi="Calibri"/>
      <w:kern w:val="2"/>
      <w:sz w:val="21"/>
      <w:szCs w:val="21"/>
      <w:lang w:val="en-US" w:eastAsia="zh-CN" w:bidi="ar-SA"/>
    </w:rPr>
  </w:style>
  <w:style w:type="paragraph" w:customStyle="1" w:styleId="160">
    <w:name w:val="样式 130 10 磅"/>
    <w:pPr>
      <w:widowControl w:val="0"/>
      <w:jc w:val="both"/>
    </w:pPr>
    <w:rPr>
      <w:rFonts w:ascii="Calibri" w:eastAsia="宋体" w:cs="Calibri" w:hAnsi="Calibri"/>
      <w:kern w:val="2"/>
      <w:sz w:val="21"/>
      <w:szCs w:val="21"/>
      <w:lang w:val="en-US" w:eastAsia="zh-CN" w:bidi="ar-SA"/>
    </w:rPr>
  </w:style>
  <w:style w:type="paragraph" w:customStyle="1" w:styleId="161">
    <w:name w:val="样式 131 10 磅"/>
    <w:pPr>
      <w:widowControl w:val="0"/>
      <w:jc w:val="both"/>
    </w:pPr>
    <w:rPr>
      <w:rFonts w:ascii="Calibri" w:eastAsia="宋体" w:cs="Calibri" w:hAnsi="Calibri"/>
      <w:kern w:val="2"/>
      <w:sz w:val="21"/>
      <w:szCs w:val="21"/>
      <w:lang w:val="en-US" w:eastAsia="zh-CN" w:bidi="ar-SA"/>
    </w:rPr>
  </w:style>
  <w:style w:type="paragraph" w:customStyle="1" w:styleId="162">
    <w:name w:val="样式 132 10 磅"/>
    <w:pPr>
      <w:widowControl w:val="0"/>
      <w:jc w:val="both"/>
    </w:pPr>
    <w:rPr>
      <w:rFonts w:ascii="Calibri" w:eastAsia="宋体" w:cs="Calibri" w:hAnsi="Calibri"/>
      <w:kern w:val="2"/>
      <w:sz w:val="21"/>
      <w:szCs w:val="21"/>
      <w:lang w:val="en-US" w:eastAsia="zh-CN" w:bidi="ar-SA"/>
    </w:rPr>
  </w:style>
  <w:style w:type="paragraph" w:customStyle="1" w:styleId="163">
    <w:name w:val="样式 133 10 磅"/>
    <w:pPr>
      <w:widowControl w:val="0"/>
      <w:jc w:val="both"/>
    </w:pPr>
    <w:rPr>
      <w:rFonts w:ascii="Calibri" w:eastAsia="宋体" w:cs="Calibri" w:hAnsi="Calibri"/>
      <w:kern w:val="2"/>
      <w:sz w:val="21"/>
      <w:szCs w:val="21"/>
      <w:lang w:val="en-US" w:eastAsia="zh-CN" w:bidi="ar-SA"/>
    </w:rPr>
  </w:style>
  <w:style w:type="paragraph" w:customStyle="1" w:styleId="164">
    <w:name w:val="样式 134 10 磅"/>
    <w:pPr>
      <w:widowControl w:val="0"/>
      <w:jc w:val="both"/>
    </w:pPr>
    <w:rPr>
      <w:rFonts w:ascii="Calibri" w:eastAsia="宋体" w:cs="Calibri" w:hAnsi="Calibri"/>
      <w:kern w:val="2"/>
      <w:sz w:val="21"/>
      <w:szCs w:val="21"/>
      <w:lang w:val="en-US" w:eastAsia="zh-CN" w:bidi="ar-SA"/>
    </w:rPr>
  </w:style>
  <w:style w:type="paragraph" w:customStyle="1" w:styleId="165">
    <w:name w:val="样式 135 10 磅"/>
    <w:pPr>
      <w:widowControl w:val="0"/>
      <w:jc w:val="both"/>
    </w:pPr>
    <w:rPr>
      <w:rFonts w:ascii="Calibri" w:eastAsia="宋体" w:cs="Calibri" w:hAnsi="Calibri"/>
      <w:kern w:val="2"/>
      <w:sz w:val="21"/>
      <w:szCs w:val="21"/>
      <w:lang w:val="en-US" w:eastAsia="zh-CN" w:bidi="ar-SA"/>
    </w:rPr>
  </w:style>
  <w:style w:type="paragraph" w:customStyle="1" w:styleId="166">
    <w:name w:val="样式 136 10 磅"/>
    <w:pPr>
      <w:widowControl w:val="0"/>
      <w:jc w:val="both"/>
    </w:pPr>
    <w:rPr>
      <w:rFonts w:ascii="Calibri" w:eastAsia="宋体" w:cs="Calibri" w:hAnsi="Calibri"/>
      <w:kern w:val="2"/>
      <w:sz w:val="21"/>
      <w:szCs w:val="21"/>
      <w:lang w:val="en-US" w:eastAsia="zh-CN" w:bidi="ar-SA"/>
    </w:rPr>
  </w:style>
  <w:style w:type="paragraph" w:customStyle="1" w:styleId="167">
    <w:name w:val="样式 137 10 磅"/>
    <w:pPr>
      <w:widowControl w:val="0"/>
      <w:jc w:val="both"/>
    </w:pPr>
    <w:rPr>
      <w:rFonts w:ascii="Calibri" w:eastAsia="宋体" w:cs="Calibri" w:hAnsi="Calibri"/>
      <w:kern w:val="2"/>
      <w:sz w:val="21"/>
      <w:szCs w:val="21"/>
      <w:lang w:val="en-US" w:eastAsia="zh-CN" w:bidi="ar-SA"/>
    </w:rPr>
  </w:style>
  <w:style w:type="paragraph" w:customStyle="1" w:styleId="168">
    <w:name w:val="样式 138 10 磅"/>
    <w:pPr>
      <w:widowControl w:val="0"/>
      <w:jc w:val="both"/>
    </w:pPr>
    <w:rPr>
      <w:rFonts w:ascii="Calibri" w:eastAsia="宋体" w:cs="Calibri" w:hAnsi="Calibri"/>
      <w:kern w:val="2"/>
      <w:sz w:val="21"/>
      <w:szCs w:val="21"/>
      <w:lang w:val="en-US" w:eastAsia="zh-CN" w:bidi="ar-SA"/>
    </w:rPr>
  </w:style>
  <w:style w:type="paragraph" w:customStyle="1" w:styleId="169">
    <w:name w:val="样式 139 10 磅"/>
    <w:pPr>
      <w:widowControl w:val="0"/>
      <w:jc w:val="both"/>
    </w:pPr>
    <w:rPr>
      <w:rFonts w:ascii="Calibri" w:eastAsia="宋体" w:cs="Calibri" w:hAnsi="Calibri"/>
      <w:kern w:val="2"/>
      <w:sz w:val="21"/>
      <w:szCs w:val="21"/>
      <w:lang w:val="en-US" w:eastAsia="zh-CN" w:bidi="ar-SA"/>
    </w:rPr>
  </w:style>
  <w:style w:type="paragraph" w:customStyle="1" w:styleId="170">
    <w:name w:val="样式 140 10 磅"/>
    <w:pPr>
      <w:widowControl w:val="0"/>
      <w:jc w:val="both"/>
    </w:pPr>
    <w:rPr>
      <w:rFonts w:ascii="Calibri" w:eastAsia="宋体" w:cs="Calibri" w:hAnsi="Calibri"/>
      <w:kern w:val="2"/>
      <w:sz w:val="21"/>
      <w:szCs w:val="21"/>
      <w:lang w:val="en-US" w:eastAsia="zh-CN" w:bidi="ar-SA"/>
    </w:rPr>
  </w:style>
  <w:style w:type="paragraph" w:customStyle="1" w:styleId="171">
    <w:name w:val="样式 141 10 磅"/>
    <w:pPr>
      <w:widowControl w:val="0"/>
      <w:jc w:val="both"/>
    </w:pPr>
    <w:rPr>
      <w:rFonts w:ascii="Calibri" w:eastAsia="宋体" w:cs="Calibri" w:hAnsi="Calibri"/>
      <w:kern w:val="2"/>
      <w:sz w:val="21"/>
      <w:szCs w:val="21"/>
      <w:lang w:val="en-US" w:eastAsia="zh-CN" w:bidi="ar-SA"/>
    </w:rPr>
  </w:style>
  <w:style w:type="paragraph" w:customStyle="1" w:styleId="172">
    <w:name w:val="样式 142 10 磅"/>
    <w:pPr>
      <w:widowControl w:val="0"/>
      <w:jc w:val="both"/>
    </w:pPr>
    <w:rPr>
      <w:rFonts w:ascii="Calibri" w:eastAsia="宋体" w:cs="Calibri" w:hAnsi="Calibri"/>
      <w:kern w:val="2"/>
      <w:sz w:val="21"/>
      <w:szCs w:val="21"/>
      <w:lang w:val="en-US" w:eastAsia="zh-CN" w:bidi="ar-SA"/>
    </w:rPr>
  </w:style>
  <w:style w:type="paragraph" w:customStyle="1" w:styleId="173">
    <w:name w:val="样式 143 10 磅"/>
    <w:pPr>
      <w:widowControl w:val="0"/>
      <w:jc w:val="both"/>
    </w:pPr>
    <w:rPr>
      <w:rFonts w:ascii="Calibri" w:eastAsia="宋体" w:cs="Calibri" w:hAnsi="Calibri"/>
      <w:kern w:val="2"/>
      <w:sz w:val="21"/>
      <w:szCs w:val="21"/>
      <w:lang w:val="en-US" w:eastAsia="zh-CN" w:bidi="ar-SA"/>
    </w:rPr>
  </w:style>
  <w:style w:type="paragraph" w:customStyle="1" w:styleId="174">
    <w:name w:val="样式 144 10 磅"/>
    <w:pPr>
      <w:widowControl w:val="0"/>
      <w:jc w:val="both"/>
    </w:pPr>
    <w:rPr>
      <w:rFonts w:ascii="Calibri" w:eastAsia="宋体" w:cs="Calibri" w:hAnsi="Calibri"/>
      <w:kern w:val="2"/>
      <w:sz w:val="21"/>
      <w:szCs w:val="21"/>
      <w:lang w:val="en-US" w:eastAsia="zh-CN" w:bidi="ar-SA"/>
    </w:rPr>
  </w:style>
  <w:style w:type="paragraph" w:customStyle="1" w:styleId="175">
    <w:name w:val="样式 145 10 磅"/>
    <w:pPr>
      <w:widowControl w:val="0"/>
      <w:jc w:val="both"/>
    </w:pPr>
    <w:rPr>
      <w:rFonts w:ascii="Calibri" w:eastAsia="宋体" w:cs="Calibri" w:hAnsi="Calibri"/>
      <w:kern w:val="2"/>
      <w:sz w:val="21"/>
      <w:szCs w:val="21"/>
      <w:lang w:val="en-US" w:eastAsia="zh-CN" w:bidi="ar-SA"/>
    </w:rPr>
  </w:style>
  <w:style w:type="paragraph" w:customStyle="1" w:styleId="176">
    <w:name w:val="样式 146 10 磅"/>
    <w:pPr>
      <w:widowControl w:val="0"/>
      <w:jc w:val="both"/>
    </w:pPr>
    <w:rPr>
      <w:rFonts w:ascii="Calibri" w:eastAsia="宋体" w:cs="Calibri" w:hAnsi="Calibri"/>
      <w:kern w:val="2"/>
      <w:sz w:val="21"/>
      <w:szCs w:val="21"/>
      <w:lang w:val="en-US" w:eastAsia="zh-CN" w:bidi="ar-SA"/>
    </w:rPr>
  </w:style>
  <w:style w:type="paragraph" w:customStyle="1" w:styleId="177">
    <w:name w:val="样式 147 10 磅"/>
    <w:pPr>
      <w:widowControl w:val="0"/>
      <w:jc w:val="both"/>
    </w:pPr>
    <w:rPr>
      <w:rFonts w:ascii="Calibri" w:eastAsia="宋体" w:cs="Calibri" w:hAnsi="Calibri"/>
      <w:kern w:val="2"/>
      <w:sz w:val="21"/>
      <w:szCs w:val="21"/>
      <w:lang w:val="en-US" w:eastAsia="zh-CN" w:bidi="ar-SA"/>
    </w:rPr>
  </w:style>
  <w:style w:type="paragraph" w:customStyle="1" w:styleId="178">
    <w:name w:val="样式 148 10 磅"/>
    <w:pPr>
      <w:widowControl w:val="0"/>
      <w:jc w:val="both"/>
    </w:pPr>
    <w:rPr>
      <w:rFonts w:ascii="Calibri" w:eastAsia="宋体" w:cs="Calibri" w:hAnsi="Calibri"/>
      <w:kern w:val="2"/>
      <w:sz w:val="21"/>
      <w:szCs w:val="21"/>
      <w:lang w:val="en-US" w:eastAsia="zh-CN" w:bidi="ar-SA"/>
    </w:rPr>
  </w:style>
  <w:style w:type="paragraph" w:customStyle="1" w:styleId="179">
    <w:name w:val="样式 149 10 磅"/>
    <w:pPr>
      <w:widowControl w:val="0"/>
      <w:jc w:val="both"/>
    </w:pPr>
    <w:rPr>
      <w:rFonts w:ascii="Calibri" w:eastAsia="宋体" w:cs="Calibri" w:hAnsi="Calibri"/>
      <w:kern w:val="2"/>
      <w:sz w:val="21"/>
      <w:szCs w:val="21"/>
      <w:lang w:val="en-US" w:eastAsia="zh-CN" w:bidi="ar-SA"/>
    </w:rPr>
  </w:style>
  <w:style w:type="paragraph" w:customStyle="1" w:styleId="180">
    <w:name w:val="样式 150 10 磅"/>
    <w:pPr>
      <w:widowControl w:val="0"/>
      <w:jc w:val="both"/>
    </w:pPr>
    <w:rPr>
      <w:rFonts w:ascii="Calibri" w:eastAsia="宋体" w:cs="Calibri" w:hAnsi="Calibri"/>
      <w:kern w:val="2"/>
      <w:sz w:val="21"/>
      <w:szCs w:val="21"/>
      <w:lang w:val="en-US" w:eastAsia="zh-CN" w:bidi="ar-SA"/>
    </w:rPr>
  </w:style>
  <w:style w:type="paragraph" w:customStyle="1" w:styleId="181">
    <w:name w:val="样式 151 10 磅"/>
    <w:pPr>
      <w:widowControl w:val="0"/>
      <w:jc w:val="both"/>
    </w:pPr>
    <w:rPr>
      <w:rFonts w:ascii="Calibri" w:eastAsia="宋体" w:cs="Calibri" w:hAnsi="Calibri"/>
      <w:kern w:val="2"/>
      <w:sz w:val="21"/>
      <w:szCs w:val="21"/>
      <w:lang w:val="en-US" w:eastAsia="zh-CN" w:bidi="ar-SA"/>
    </w:rPr>
  </w:style>
  <w:style w:type="paragraph" w:customStyle="1" w:styleId="182">
    <w:name w:val="样式 152 10 磅"/>
    <w:pPr>
      <w:widowControl w:val="0"/>
      <w:jc w:val="both"/>
    </w:pPr>
    <w:rPr>
      <w:rFonts w:ascii="Calibri" w:eastAsia="宋体" w:cs="Calibri" w:hAnsi="Calibri"/>
      <w:kern w:val="2"/>
      <w:sz w:val="21"/>
      <w:szCs w:val="21"/>
      <w:lang w:val="en-US" w:eastAsia="zh-CN" w:bidi="ar-SA"/>
    </w:rPr>
  </w:style>
  <w:style w:type="paragraph" w:customStyle="1" w:styleId="183">
    <w:name w:val="样式 153 10 磅"/>
    <w:pPr>
      <w:widowControl w:val="0"/>
      <w:jc w:val="both"/>
    </w:pPr>
    <w:rPr>
      <w:rFonts w:ascii="Calibri" w:eastAsia="宋体" w:cs="Calibri" w:hAnsi="Calibri"/>
      <w:kern w:val="2"/>
      <w:sz w:val="21"/>
      <w:szCs w:val="21"/>
      <w:lang w:val="en-US" w:eastAsia="zh-CN" w:bidi="ar-SA"/>
    </w:rPr>
  </w:style>
  <w:style w:type="paragraph" w:customStyle="1" w:styleId="184">
    <w:name w:val="样式 154 10 磅"/>
    <w:pPr>
      <w:widowControl w:val="0"/>
      <w:jc w:val="both"/>
    </w:pPr>
    <w:rPr>
      <w:rFonts w:ascii="Calibri" w:eastAsia="宋体" w:cs="Calibri" w:hAnsi="Calibri"/>
      <w:kern w:val="2"/>
      <w:sz w:val="21"/>
      <w:szCs w:val="21"/>
      <w:lang w:val="en-US" w:eastAsia="zh-CN" w:bidi="ar-SA"/>
    </w:rPr>
  </w:style>
  <w:style w:type="paragraph" w:customStyle="1" w:styleId="185">
    <w:name w:val="样式 155 10 磅"/>
    <w:pPr>
      <w:widowControl w:val="0"/>
      <w:jc w:val="both"/>
    </w:pPr>
    <w:rPr>
      <w:rFonts w:ascii="Calibri" w:eastAsia="宋体" w:cs="Calibri" w:hAnsi="Calibri"/>
      <w:kern w:val="2"/>
      <w:sz w:val="21"/>
      <w:szCs w:val="21"/>
      <w:lang w:val="en-US" w:eastAsia="zh-CN" w:bidi="ar-SA"/>
    </w:rPr>
  </w:style>
  <w:style w:type="paragraph" w:customStyle="1" w:styleId="186">
    <w:name w:val="样式 156 10 磅"/>
    <w:pPr>
      <w:widowControl w:val="0"/>
      <w:jc w:val="both"/>
    </w:pPr>
    <w:rPr>
      <w:rFonts w:ascii="Calibri" w:eastAsia="宋体" w:cs="Calibri" w:hAnsi="Calibri"/>
      <w:kern w:val="2"/>
      <w:sz w:val="21"/>
      <w:szCs w:val="21"/>
      <w:lang w:val="en-US" w:eastAsia="zh-CN" w:bidi="ar-SA"/>
    </w:rPr>
  </w:style>
  <w:style w:type="paragraph" w:customStyle="1" w:styleId="187">
    <w:name w:val="样式 157 10 磅"/>
    <w:pPr>
      <w:widowControl w:val="0"/>
      <w:jc w:val="both"/>
    </w:pPr>
    <w:rPr>
      <w:rFonts w:ascii="Calibri" w:eastAsia="宋体" w:cs="Calibri" w:hAnsi="Calibri"/>
      <w:kern w:val="2"/>
      <w:sz w:val="21"/>
      <w:szCs w:val="21"/>
      <w:lang w:val="en-US" w:eastAsia="zh-CN" w:bidi="ar-SA"/>
    </w:rPr>
  </w:style>
  <w:style w:type="paragraph" w:customStyle="1" w:styleId="188">
    <w:name w:val="样式 158 10 磅"/>
    <w:pPr>
      <w:widowControl w:val="0"/>
      <w:jc w:val="both"/>
    </w:pPr>
    <w:rPr>
      <w:rFonts w:ascii="Calibri" w:eastAsia="宋体" w:cs="Calibri" w:hAnsi="Calibri"/>
      <w:kern w:val="2"/>
      <w:sz w:val="21"/>
      <w:szCs w:val="21"/>
      <w:lang w:val="en-US" w:eastAsia="zh-CN" w:bidi="ar-SA"/>
    </w:rPr>
  </w:style>
  <w:style w:type="paragraph" w:customStyle="1" w:styleId="189">
    <w:name w:val="样式 159 10 磅"/>
    <w:pPr>
      <w:widowControl w:val="0"/>
      <w:jc w:val="both"/>
    </w:pPr>
    <w:rPr>
      <w:rFonts w:ascii="Calibri" w:eastAsia="宋体" w:cs="Calibri" w:hAnsi="Calibri"/>
      <w:kern w:val="2"/>
      <w:sz w:val="21"/>
      <w:szCs w:val="21"/>
      <w:lang w:val="en-US" w:eastAsia="zh-CN" w:bidi="ar-SA"/>
    </w:rPr>
  </w:style>
  <w:style w:type="paragraph" w:customStyle="1" w:styleId="190">
    <w:name w:val="样式 160 10 磅"/>
    <w:pPr>
      <w:widowControl w:val="0"/>
      <w:jc w:val="both"/>
    </w:pPr>
    <w:rPr>
      <w:rFonts w:ascii="Calibri" w:eastAsia="宋体" w:cs="Calibri" w:hAnsi="Calibri"/>
      <w:kern w:val="2"/>
      <w:sz w:val="21"/>
      <w:szCs w:val="21"/>
      <w:lang w:val="en-US" w:eastAsia="zh-CN" w:bidi="ar-SA"/>
    </w:rPr>
  </w:style>
  <w:style w:type="paragraph" w:customStyle="1" w:styleId="191">
    <w:name w:val="样式 161 10 磅"/>
    <w:pPr>
      <w:widowControl w:val="0"/>
      <w:jc w:val="both"/>
    </w:pPr>
    <w:rPr>
      <w:rFonts w:ascii="Calibri" w:eastAsia="宋体" w:cs="Calibri" w:hAnsi="Calibri"/>
      <w:kern w:val="2"/>
      <w:sz w:val="21"/>
      <w:szCs w:val="21"/>
      <w:lang w:val="en-US" w:eastAsia="zh-CN" w:bidi="ar-SA"/>
    </w:rPr>
  </w:style>
  <w:style w:type="paragraph" w:customStyle="1" w:styleId="192">
    <w:name w:val="样式 162 10 磅"/>
    <w:pPr>
      <w:widowControl w:val="0"/>
      <w:jc w:val="both"/>
    </w:pPr>
    <w:rPr>
      <w:rFonts w:ascii="Calibri" w:eastAsia="宋体" w:cs="Calibri" w:hAnsi="Calibri"/>
      <w:kern w:val="2"/>
      <w:sz w:val="21"/>
      <w:szCs w:val="21"/>
      <w:lang w:val="en-US" w:eastAsia="zh-CN" w:bidi="ar-SA"/>
    </w:rPr>
  </w:style>
  <w:style w:type="paragraph" w:customStyle="1" w:styleId="193">
    <w:name w:val="样式 163 10 磅"/>
    <w:pPr>
      <w:widowControl w:val="0"/>
      <w:jc w:val="both"/>
    </w:pPr>
    <w:rPr>
      <w:rFonts w:ascii="Calibri" w:eastAsia="宋体" w:cs="Calibri" w:hAnsi="Calibri"/>
      <w:kern w:val="2"/>
      <w:sz w:val="21"/>
      <w:szCs w:val="21"/>
      <w:lang w:val="en-US" w:eastAsia="zh-CN" w:bidi="ar-SA"/>
    </w:rPr>
  </w:style>
  <w:style w:type="paragraph" w:customStyle="1" w:styleId="194">
    <w:name w:val="样式 164 10 磅"/>
    <w:pPr>
      <w:widowControl w:val="0"/>
      <w:jc w:val="both"/>
    </w:pPr>
    <w:rPr>
      <w:rFonts w:ascii="Calibri" w:eastAsia="宋体" w:cs="Calibri" w:hAnsi="Calibri"/>
      <w:kern w:val="2"/>
      <w:sz w:val="21"/>
      <w:szCs w:val="21"/>
      <w:lang w:val="en-US" w:eastAsia="zh-CN" w:bidi="ar-SA"/>
    </w:rPr>
  </w:style>
  <w:style w:type="paragraph" w:customStyle="1" w:styleId="195">
    <w:name w:val="样式 165 10 磅"/>
    <w:pPr>
      <w:widowControl w:val="0"/>
      <w:jc w:val="both"/>
    </w:pPr>
    <w:rPr>
      <w:rFonts w:ascii="Calibri" w:eastAsia="宋体" w:cs="Calibri" w:hAnsi="Calibri"/>
      <w:kern w:val="2"/>
      <w:sz w:val="21"/>
      <w:szCs w:val="21"/>
      <w:lang w:val="en-US" w:eastAsia="zh-CN" w:bidi="ar-SA"/>
    </w:rPr>
  </w:style>
  <w:style w:type="paragraph" w:customStyle="1" w:styleId="196">
    <w:name w:val="样式 166 10 磅"/>
    <w:pPr>
      <w:widowControl w:val="0"/>
      <w:jc w:val="both"/>
    </w:pPr>
    <w:rPr>
      <w:rFonts w:ascii="Calibri" w:eastAsia="宋体" w:cs="Calibri" w:hAnsi="Calibri"/>
      <w:kern w:val="2"/>
      <w:sz w:val="21"/>
      <w:szCs w:val="21"/>
      <w:lang w:val="en-US" w:eastAsia="zh-CN" w:bidi="ar-SA"/>
    </w:rPr>
  </w:style>
  <w:style w:type="paragraph" w:customStyle="1" w:styleId="197">
    <w:name w:val="样式 167 10 磅"/>
    <w:pPr>
      <w:widowControl w:val="0"/>
      <w:jc w:val="both"/>
    </w:pPr>
    <w:rPr>
      <w:rFonts w:ascii="Calibri" w:eastAsia="宋体" w:cs="Calibri" w:hAnsi="Calibri"/>
      <w:kern w:val="2"/>
      <w:sz w:val="21"/>
      <w:szCs w:val="21"/>
      <w:lang w:val="en-US" w:eastAsia="zh-CN" w:bidi="ar-SA"/>
    </w:rPr>
  </w:style>
  <w:style w:type="paragraph" w:customStyle="1" w:styleId="198">
    <w:name w:val="样式 168 10 磅"/>
    <w:pPr>
      <w:widowControl w:val="0"/>
      <w:jc w:val="both"/>
    </w:pPr>
    <w:rPr>
      <w:rFonts w:ascii="Calibri" w:eastAsia="宋体" w:cs="Calibri" w:hAnsi="Calibri"/>
      <w:kern w:val="2"/>
      <w:sz w:val="21"/>
      <w:szCs w:val="21"/>
      <w:lang w:val="en-US" w:eastAsia="zh-CN" w:bidi="ar-SA"/>
    </w:rPr>
  </w:style>
  <w:style w:type="paragraph" w:customStyle="1" w:styleId="199">
    <w:name w:val="样式 169 10 磅"/>
    <w:pPr>
      <w:widowControl w:val="0"/>
      <w:jc w:val="both"/>
    </w:pPr>
    <w:rPr>
      <w:rFonts w:ascii="Calibri" w:eastAsia="宋体" w:cs="Calibri" w:hAnsi="Calibri"/>
      <w:kern w:val="2"/>
      <w:sz w:val="21"/>
      <w:szCs w:val="21"/>
      <w:lang w:val="en-US" w:eastAsia="zh-CN" w:bidi="ar-SA"/>
    </w:rPr>
  </w:style>
  <w:style w:type="paragraph" w:customStyle="1" w:styleId="200">
    <w:name w:val="样式 170 10 磅"/>
    <w:pPr>
      <w:widowControl w:val="0"/>
      <w:jc w:val="both"/>
    </w:pPr>
    <w:rPr>
      <w:rFonts w:ascii="Calibri" w:eastAsia="宋体" w:cs="Calibri" w:hAnsi="Calibri"/>
      <w:kern w:val="2"/>
      <w:sz w:val="21"/>
      <w:szCs w:val="21"/>
      <w:lang w:val="en-US" w:eastAsia="zh-CN" w:bidi="ar-SA"/>
    </w:rPr>
  </w:style>
  <w:style w:type="paragraph" w:customStyle="1" w:styleId="201">
    <w:name w:val="样式 171 10 磅"/>
    <w:pPr>
      <w:widowControl w:val="0"/>
      <w:jc w:val="both"/>
    </w:pPr>
    <w:rPr>
      <w:rFonts w:ascii="Calibri" w:eastAsia="宋体" w:cs="Calibri" w:hAnsi="Calibri"/>
      <w:kern w:val="2"/>
      <w:sz w:val="21"/>
      <w:szCs w:val="21"/>
      <w:lang w:val="en-US" w:eastAsia="zh-CN" w:bidi="ar-SA"/>
    </w:rPr>
  </w:style>
  <w:style w:type="paragraph" w:customStyle="1" w:styleId="202">
    <w:name w:val="样式 172 10 磅"/>
    <w:pPr>
      <w:widowControl w:val="0"/>
      <w:jc w:val="both"/>
    </w:pPr>
    <w:rPr>
      <w:rFonts w:ascii="Calibri" w:eastAsia="宋体" w:cs="Calibri" w:hAnsi="Calibri"/>
      <w:kern w:val="2"/>
      <w:sz w:val="21"/>
      <w:szCs w:val="21"/>
      <w:lang w:val="en-US" w:eastAsia="zh-CN" w:bidi="ar-SA"/>
    </w:rPr>
  </w:style>
  <w:style w:type="paragraph" w:customStyle="1" w:styleId="203">
    <w:name w:val="样式 173 10 磅"/>
    <w:pPr>
      <w:widowControl w:val="0"/>
      <w:jc w:val="both"/>
    </w:pPr>
    <w:rPr>
      <w:rFonts w:ascii="Calibri" w:eastAsia="宋体" w:cs="Calibri" w:hAnsi="Calibri"/>
      <w:kern w:val="2"/>
      <w:sz w:val="21"/>
      <w:szCs w:val="21"/>
      <w:lang w:val="en-US" w:eastAsia="zh-CN" w:bidi="ar-SA"/>
    </w:rPr>
  </w:style>
  <w:style w:type="paragraph" w:customStyle="1" w:styleId="204">
    <w:name w:val="样式 174 10 磅"/>
    <w:pPr>
      <w:widowControl w:val="0"/>
      <w:jc w:val="both"/>
    </w:pPr>
    <w:rPr>
      <w:rFonts w:ascii="Calibri" w:eastAsia="宋体" w:cs="Calibri" w:hAnsi="Calibri"/>
      <w:kern w:val="2"/>
      <w:sz w:val="21"/>
      <w:szCs w:val="21"/>
      <w:lang w:val="en-US" w:eastAsia="zh-CN" w:bidi="ar-SA"/>
    </w:rPr>
  </w:style>
  <w:style w:type="paragraph" w:customStyle="1" w:styleId="205">
    <w:name w:val="样式 175 10 磅"/>
    <w:pPr>
      <w:widowControl w:val="0"/>
      <w:jc w:val="both"/>
    </w:pPr>
    <w:rPr>
      <w:rFonts w:ascii="Calibri" w:eastAsia="宋体" w:cs="Calibri" w:hAnsi="Calibri"/>
      <w:kern w:val="2"/>
      <w:sz w:val="21"/>
      <w:szCs w:val="21"/>
      <w:lang w:val="en-US" w:eastAsia="zh-CN" w:bidi="ar-SA"/>
    </w:rPr>
  </w:style>
  <w:style w:type="paragraph" w:customStyle="1" w:styleId="206">
    <w:name w:val="样式 176 10 磅"/>
    <w:pPr>
      <w:widowControl w:val="0"/>
      <w:jc w:val="both"/>
    </w:pPr>
    <w:rPr>
      <w:rFonts w:ascii="Calibri" w:eastAsia="宋体" w:cs="Calibri" w:hAnsi="Calibri"/>
      <w:kern w:val="2"/>
      <w:sz w:val="21"/>
      <w:szCs w:val="21"/>
      <w:lang w:val="en-US" w:eastAsia="zh-CN" w:bidi="ar-SA"/>
    </w:rPr>
  </w:style>
  <w:style w:type="paragraph" w:customStyle="1" w:styleId="207">
    <w:name w:val="样式 177 10 磅"/>
    <w:pPr>
      <w:widowControl w:val="0"/>
      <w:jc w:val="both"/>
    </w:pPr>
    <w:rPr>
      <w:rFonts w:ascii="Calibri" w:eastAsia="宋体" w:cs="Calibri" w:hAnsi="Calibri"/>
      <w:kern w:val="2"/>
      <w:sz w:val="21"/>
      <w:szCs w:val="21"/>
      <w:lang w:val="en-US" w:eastAsia="zh-CN" w:bidi="ar-SA"/>
    </w:rPr>
  </w:style>
  <w:style w:type="paragraph" w:customStyle="1" w:styleId="208">
    <w:name w:val="样式 178 10 磅"/>
    <w:pPr>
      <w:widowControl w:val="0"/>
      <w:jc w:val="both"/>
    </w:pPr>
    <w:rPr>
      <w:rFonts w:ascii="Calibri" w:eastAsia="宋体" w:cs="Calibri" w:hAnsi="Calibri"/>
      <w:kern w:val="2"/>
      <w:sz w:val="21"/>
      <w:szCs w:val="21"/>
      <w:lang w:val="en-US" w:eastAsia="zh-CN" w:bidi="ar-SA"/>
    </w:rPr>
  </w:style>
  <w:style w:type="paragraph" w:customStyle="1" w:styleId="209">
    <w:name w:val="样式 179 10 磅"/>
    <w:pPr>
      <w:widowControl w:val="0"/>
      <w:jc w:val="both"/>
    </w:pPr>
    <w:rPr>
      <w:rFonts w:ascii="Calibri" w:eastAsia="宋体" w:cs="Calibri" w:hAnsi="Calibri"/>
      <w:kern w:val="2"/>
      <w:sz w:val="21"/>
      <w:szCs w:val="21"/>
      <w:lang w:val="en-US" w:eastAsia="zh-CN" w:bidi="ar-SA"/>
    </w:rPr>
  </w:style>
  <w:style w:type="paragraph" w:customStyle="1" w:styleId="210">
    <w:name w:val="样式 180 10 磅"/>
    <w:pPr>
      <w:widowControl w:val="0"/>
      <w:jc w:val="both"/>
    </w:pPr>
    <w:rPr>
      <w:rFonts w:ascii="Calibri" w:eastAsia="宋体" w:cs="Calibri" w:hAnsi="Calibri"/>
      <w:kern w:val="2"/>
      <w:sz w:val="21"/>
      <w:szCs w:val="21"/>
      <w:lang w:val="en-US" w:eastAsia="zh-CN" w:bidi="ar-SA"/>
    </w:rPr>
  </w:style>
  <w:style w:type="paragraph" w:customStyle="1" w:styleId="211">
    <w:name w:val="样式 181 10 磅"/>
    <w:pPr>
      <w:widowControl w:val="0"/>
      <w:jc w:val="both"/>
    </w:pPr>
    <w:rPr>
      <w:rFonts w:ascii="Calibri" w:eastAsia="宋体" w:cs="Calibri" w:hAnsi="Calibri"/>
      <w:kern w:val="2"/>
      <w:sz w:val="21"/>
      <w:szCs w:val="21"/>
      <w:lang w:val="en-US" w:eastAsia="zh-CN" w:bidi="ar-SA"/>
    </w:rPr>
  </w:style>
  <w:style w:type="paragraph" w:customStyle="1" w:styleId="212">
    <w:name w:val="样式 182 10 磅"/>
    <w:pPr>
      <w:widowControl w:val="0"/>
      <w:jc w:val="both"/>
    </w:pPr>
    <w:rPr>
      <w:rFonts w:ascii="Calibri" w:eastAsia="宋体" w:cs="Calibri" w:hAnsi="Calibri"/>
      <w:kern w:val="2"/>
      <w:sz w:val="21"/>
      <w:szCs w:val="21"/>
      <w:lang w:val="en-US" w:eastAsia="zh-CN" w:bidi="ar-SA"/>
    </w:rPr>
  </w:style>
  <w:style w:type="paragraph" w:customStyle="1" w:styleId="213">
    <w:name w:val="样式 183 10 磅"/>
    <w:pPr>
      <w:widowControl w:val="0"/>
      <w:jc w:val="both"/>
    </w:pPr>
    <w:rPr>
      <w:rFonts w:ascii="Calibri" w:eastAsia="宋体" w:cs="Calibri" w:hAnsi="Calibri"/>
      <w:kern w:val="2"/>
      <w:sz w:val="21"/>
      <w:szCs w:val="21"/>
      <w:lang w:val="en-US" w:eastAsia="zh-CN" w:bidi="ar-SA"/>
    </w:rPr>
  </w:style>
  <w:style w:type="paragraph" w:customStyle="1" w:styleId="214">
    <w:name w:val="样式 184 10 磅"/>
    <w:pPr>
      <w:widowControl w:val="0"/>
      <w:jc w:val="both"/>
    </w:pPr>
    <w:rPr>
      <w:rFonts w:ascii="Calibri" w:eastAsia="宋体" w:cs="Calibri" w:hAnsi="Calibri"/>
      <w:kern w:val="2"/>
      <w:sz w:val="21"/>
      <w:szCs w:val="21"/>
      <w:lang w:val="en-US" w:eastAsia="zh-CN" w:bidi="ar-SA"/>
    </w:rPr>
  </w:style>
  <w:style w:type="paragraph" w:customStyle="1" w:styleId="215">
    <w:name w:val="样式 185 10 磅"/>
    <w:pPr>
      <w:widowControl w:val="0"/>
      <w:jc w:val="both"/>
    </w:pPr>
    <w:rPr>
      <w:rFonts w:ascii="Calibri" w:eastAsia="宋体" w:cs="Calibri" w:hAnsi="Calibri"/>
      <w:kern w:val="2"/>
      <w:sz w:val="21"/>
      <w:szCs w:val="21"/>
      <w:lang w:val="en-US" w:eastAsia="zh-CN" w:bidi="ar-SA"/>
    </w:rPr>
  </w:style>
  <w:style w:type="paragraph" w:customStyle="1" w:styleId="216">
    <w:name w:val="样式 186 10 磅"/>
    <w:pPr>
      <w:widowControl w:val="0"/>
      <w:jc w:val="both"/>
    </w:pPr>
    <w:rPr>
      <w:rFonts w:ascii="Calibri" w:eastAsia="宋体" w:cs="Calibri" w:hAnsi="Calibri"/>
      <w:kern w:val="2"/>
      <w:sz w:val="21"/>
      <w:szCs w:val="21"/>
      <w:lang w:val="en-US" w:eastAsia="zh-CN" w:bidi="ar-SA"/>
    </w:rPr>
  </w:style>
  <w:style w:type="paragraph" w:customStyle="1" w:styleId="217">
    <w:name w:val="样式 187 10 磅"/>
    <w:pPr>
      <w:widowControl w:val="0"/>
      <w:jc w:val="both"/>
    </w:pPr>
    <w:rPr>
      <w:rFonts w:ascii="Calibri" w:eastAsia="宋体" w:cs="Calibri" w:hAnsi="Calibri"/>
      <w:kern w:val="2"/>
      <w:sz w:val="21"/>
      <w:szCs w:val="21"/>
      <w:lang w:val="en-US" w:eastAsia="zh-CN" w:bidi="ar-SA"/>
    </w:rPr>
  </w:style>
  <w:style w:type="paragraph" w:customStyle="1" w:styleId="218">
    <w:name w:val="样式 188 10 磅"/>
    <w:pPr>
      <w:widowControl w:val="0"/>
      <w:jc w:val="both"/>
    </w:pPr>
    <w:rPr>
      <w:rFonts w:ascii="Calibri" w:eastAsia="宋体" w:cs="Calibri" w:hAnsi="Calibri"/>
      <w:kern w:val="2"/>
      <w:sz w:val="21"/>
      <w:szCs w:val="21"/>
      <w:lang w:val="en-US" w:eastAsia="zh-CN" w:bidi="ar-SA"/>
    </w:rPr>
  </w:style>
  <w:style w:type="paragraph" w:customStyle="1" w:styleId="219">
    <w:name w:val="样式 189 10 磅"/>
    <w:pPr>
      <w:widowControl w:val="0"/>
      <w:jc w:val="both"/>
    </w:pPr>
    <w:rPr>
      <w:rFonts w:ascii="Calibri" w:eastAsia="宋体" w:cs="Calibri" w:hAnsi="Calibri"/>
      <w:kern w:val="2"/>
      <w:sz w:val="21"/>
      <w:szCs w:val="21"/>
      <w:lang w:val="en-US" w:eastAsia="zh-CN" w:bidi="ar-SA"/>
    </w:rPr>
  </w:style>
  <w:style w:type="paragraph" w:customStyle="1" w:styleId="220">
    <w:name w:val="样式 190 10 磅"/>
    <w:pPr>
      <w:widowControl w:val="0"/>
      <w:jc w:val="both"/>
    </w:pPr>
    <w:rPr>
      <w:rFonts w:ascii="Calibri" w:eastAsia="宋体" w:cs="Calibri" w:hAnsi="Calibri"/>
      <w:kern w:val="2"/>
      <w:sz w:val="21"/>
      <w:szCs w:val="21"/>
      <w:lang w:val="en-US" w:eastAsia="zh-CN" w:bidi="ar-SA"/>
    </w:rPr>
  </w:style>
  <w:style w:type="paragraph" w:customStyle="1" w:styleId="221">
    <w:name w:val="样式 191 10 磅"/>
    <w:pPr>
      <w:widowControl w:val="0"/>
      <w:jc w:val="both"/>
    </w:pPr>
    <w:rPr>
      <w:rFonts w:ascii="Calibri" w:eastAsia="宋体" w:cs="Calibri" w:hAnsi="Calibri"/>
      <w:kern w:val="2"/>
      <w:sz w:val="21"/>
      <w:szCs w:val="21"/>
      <w:lang w:val="en-US" w:eastAsia="zh-CN" w:bidi="ar-SA"/>
    </w:rPr>
  </w:style>
  <w:style w:type="paragraph" w:customStyle="1" w:styleId="222">
    <w:name w:val="样式 192 10 磅"/>
    <w:pPr>
      <w:widowControl w:val="0"/>
      <w:jc w:val="both"/>
    </w:pPr>
    <w:rPr>
      <w:rFonts w:ascii="Calibri" w:eastAsia="宋体" w:cs="Calibri" w:hAnsi="Calibri"/>
      <w:kern w:val="2"/>
      <w:sz w:val="21"/>
      <w:szCs w:val="21"/>
      <w:lang w:val="en-US" w:eastAsia="zh-CN" w:bidi="ar-SA"/>
    </w:rPr>
  </w:style>
  <w:style w:type="paragraph" w:customStyle="1" w:styleId="223">
    <w:name w:val="样式 193 10 磅"/>
    <w:pPr>
      <w:widowControl w:val="0"/>
      <w:jc w:val="both"/>
    </w:pPr>
    <w:rPr>
      <w:rFonts w:ascii="Calibri" w:eastAsia="宋体" w:cs="Calibri" w:hAnsi="Calibri"/>
      <w:kern w:val="2"/>
      <w:sz w:val="21"/>
      <w:szCs w:val="21"/>
      <w:lang w:val="en-US" w:eastAsia="zh-CN" w:bidi="ar-SA"/>
    </w:rPr>
  </w:style>
  <w:style w:type="paragraph" w:customStyle="1" w:styleId="224">
    <w:name w:val="样式 194 10 磅"/>
    <w:pPr>
      <w:widowControl w:val="0"/>
      <w:jc w:val="both"/>
    </w:pPr>
    <w:rPr>
      <w:rFonts w:ascii="Calibri" w:eastAsia="宋体" w:cs="Calibri" w:hAnsi="Calibri"/>
      <w:kern w:val="2"/>
      <w:sz w:val="21"/>
      <w:szCs w:val="21"/>
      <w:lang w:val="en-US" w:eastAsia="zh-CN" w:bidi="ar-SA"/>
    </w:rPr>
  </w:style>
  <w:style w:type="paragraph" w:customStyle="1" w:styleId="225">
    <w:name w:val="样式 195 10 磅"/>
    <w:pPr>
      <w:widowControl w:val="0"/>
      <w:jc w:val="both"/>
    </w:pPr>
    <w:rPr>
      <w:rFonts w:ascii="Calibri" w:eastAsia="宋体" w:cs="Calibri" w:hAnsi="Calibri"/>
      <w:kern w:val="2"/>
      <w:sz w:val="21"/>
      <w:szCs w:val="21"/>
      <w:lang w:val="en-US" w:eastAsia="zh-CN" w:bidi="ar-SA"/>
    </w:rPr>
  </w:style>
  <w:style w:type="paragraph" w:customStyle="1" w:styleId="226">
    <w:name w:val="样式 196 10 磅"/>
    <w:pPr>
      <w:widowControl w:val="0"/>
      <w:jc w:val="both"/>
    </w:pPr>
    <w:rPr>
      <w:rFonts w:ascii="Calibri" w:eastAsia="宋体" w:cs="Calibri" w:hAnsi="Calibri"/>
      <w:kern w:val="2"/>
      <w:sz w:val="21"/>
      <w:szCs w:val="21"/>
      <w:lang w:val="en-US" w:eastAsia="zh-CN" w:bidi="ar-SA"/>
    </w:rPr>
  </w:style>
  <w:style w:type="paragraph" w:customStyle="1" w:styleId="227">
    <w:name w:val="样式 197 10 磅"/>
    <w:pPr>
      <w:widowControl w:val="0"/>
      <w:jc w:val="both"/>
    </w:pPr>
    <w:rPr>
      <w:rFonts w:ascii="Calibri" w:eastAsia="宋体" w:cs="Calibri" w:hAnsi="Calibri"/>
      <w:kern w:val="2"/>
      <w:sz w:val="21"/>
      <w:szCs w:val="21"/>
      <w:lang w:val="en-US" w:eastAsia="zh-CN" w:bidi="ar-SA"/>
    </w:rPr>
  </w:style>
  <w:style w:type="paragraph" w:customStyle="1" w:styleId="228">
    <w:name w:val="样式 198 10 磅"/>
    <w:pPr>
      <w:widowControl w:val="0"/>
      <w:jc w:val="both"/>
    </w:pPr>
    <w:rPr>
      <w:rFonts w:ascii="Calibri" w:eastAsia="宋体" w:cs="Calibri" w:hAnsi="Calibri"/>
      <w:kern w:val="2"/>
      <w:sz w:val="21"/>
      <w:szCs w:val="21"/>
      <w:lang w:val="en-US" w:eastAsia="zh-CN" w:bidi="ar-SA"/>
    </w:rPr>
  </w:style>
  <w:style w:type="paragraph" w:customStyle="1" w:styleId="229">
    <w:name w:val="样式 199 10 磅"/>
    <w:pPr>
      <w:widowControl w:val="0"/>
      <w:jc w:val="both"/>
    </w:pPr>
    <w:rPr>
      <w:rFonts w:ascii="Calibri" w:eastAsia="宋体" w:cs="Calibri" w:hAnsi="Calibri"/>
      <w:kern w:val="2"/>
      <w:sz w:val="21"/>
      <w:szCs w:val="21"/>
      <w:lang w:val="en-US" w:eastAsia="zh-CN" w:bidi="ar-SA"/>
    </w:rPr>
  </w:style>
  <w:style w:type="paragraph" w:customStyle="1" w:styleId="230">
    <w:name w:val="样式 200 10 磅"/>
    <w:pPr>
      <w:widowControl w:val="0"/>
      <w:jc w:val="both"/>
    </w:pPr>
    <w:rPr>
      <w:rFonts w:ascii="Calibri" w:eastAsia="宋体" w:cs="Calibri" w:hAnsi="Calibri"/>
      <w:kern w:val="2"/>
      <w:sz w:val="21"/>
      <w:szCs w:val="21"/>
      <w:lang w:val="en-US" w:eastAsia="zh-CN" w:bidi="ar-SA"/>
    </w:rPr>
  </w:style>
  <w:style w:type="paragraph" w:customStyle="1" w:styleId="231">
    <w:name w:val="样式 201 10 磅"/>
    <w:pPr>
      <w:widowControl w:val="0"/>
      <w:jc w:val="both"/>
    </w:pPr>
    <w:rPr>
      <w:rFonts w:ascii="Calibri" w:eastAsia="宋体" w:cs="Calibri" w:hAnsi="Calibri"/>
      <w:kern w:val="2"/>
      <w:sz w:val="21"/>
      <w:szCs w:val="21"/>
      <w:lang w:val="en-US" w:eastAsia="zh-CN" w:bidi="ar-SA"/>
    </w:rPr>
  </w:style>
  <w:style w:type="paragraph" w:customStyle="1" w:styleId="232">
    <w:name w:val="样式 202 10 磅"/>
    <w:pPr>
      <w:widowControl w:val="0"/>
      <w:jc w:val="both"/>
    </w:pPr>
    <w:rPr>
      <w:rFonts w:ascii="Calibri" w:eastAsia="宋体" w:cs="Calibri" w:hAnsi="Calibri"/>
      <w:kern w:val="2"/>
      <w:sz w:val="21"/>
      <w:szCs w:val="21"/>
      <w:lang w:val="en-US" w:eastAsia="zh-CN" w:bidi="ar-SA"/>
    </w:rPr>
  </w:style>
  <w:style w:type="paragraph" w:customStyle="1" w:styleId="233">
    <w:name w:val="样式 203 10 磅"/>
    <w:pPr>
      <w:widowControl w:val="0"/>
      <w:jc w:val="both"/>
    </w:pPr>
    <w:rPr>
      <w:rFonts w:ascii="Calibri" w:eastAsia="宋体" w:cs="Calibri" w:hAnsi="Calibri"/>
      <w:kern w:val="2"/>
      <w:sz w:val="21"/>
      <w:szCs w:val="21"/>
      <w:lang w:val="en-US" w:eastAsia="zh-CN" w:bidi="ar-SA"/>
    </w:rPr>
  </w:style>
  <w:style w:type="paragraph" w:customStyle="1" w:styleId="234">
    <w:name w:val="样式 204 10 磅"/>
    <w:pPr>
      <w:widowControl w:val="0"/>
      <w:jc w:val="both"/>
    </w:pPr>
    <w:rPr>
      <w:rFonts w:ascii="Calibri" w:eastAsia="宋体" w:cs="Calibri" w:hAnsi="Calibri"/>
      <w:kern w:val="2"/>
      <w:sz w:val="21"/>
      <w:szCs w:val="21"/>
      <w:lang w:val="en-US" w:eastAsia="zh-CN" w:bidi="ar-SA"/>
    </w:rPr>
  </w:style>
  <w:style w:type="paragraph" w:customStyle="1" w:styleId="235">
    <w:name w:val="样式 205 10 磅"/>
    <w:pPr>
      <w:widowControl w:val="0"/>
      <w:jc w:val="both"/>
    </w:pPr>
    <w:rPr>
      <w:rFonts w:ascii="Calibri" w:eastAsia="宋体" w:cs="Calibri" w:hAnsi="Calibri"/>
      <w:kern w:val="2"/>
      <w:sz w:val="21"/>
      <w:szCs w:val="21"/>
      <w:lang w:val="en-US" w:eastAsia="zh-CN" w:bidi="ar-SA"/>
    </w:rPr>
  </w:style>
  <w:style w:type="paragraph" w:customStyle="1" w:styleId="236">
    <w:name w:val="样式 206 10 磅"/>
    <w:pPr>
      <w:widowControl w:val="0"/>
      <w:jc w:val="both"/>
    </w:pPr>
    <w:rPr>
      <w:rFonts w:ascii="Calibri" w:eastAsia="宋体" w:cs="Calibri" w:hAnsi="Calibri"/>
      <w:kern w:val="2"/>
      <w:sz w:val="21"/>
      <w:szCs w:val="21"/>
      <w:lang w:val="en-US" w:eastAsia="zh-CN" w:bidi="ar-SA"/>
    </w:rPr>
  </w:style>
  <w:style w:type="paragraph" w:customStyle="1" w:styleId="237">
    <w:name w:val="样式 207 10 磅"/>
    <w:pPr>
      <w:widowControl w:val="0"/>
      <w:jc w:val="both"/>
    </w:pPr>
    <w:rPr>
      <w:rFonts w:ascii="Calibri" w:eastAsia="宋体" w:cs="Calibri" w:hAnsi="Calibri"/>
      <w:kern w:val="2"/>
      <w:sz w:val="21"/>
      <w:szCs w:val="21"/>
      <w:lang w:val="en-US" w:eastAsia="zh-CN" w:bidi="ar-SA"/>
    </w:rPr>
  </w:style>
  <w:style w:type="paragraph" w:customStyle="1" w:styleId="238">
    <w:name w:val="样式 208 10 磅"/>
    <w:pPr>
      <w:widowControl w:val="0"/>
      <w:jc w:val="both"/>
    </w:pPr>
    <w:rPr>
      <w:rFonts w:ascii="Calibri" w:eastAsia="宋体" w:cs="Calibri" w:hAnsi="Calibri"/>
      <w:kern w:val="2"/>
      <w:sz w:val="21"/>
      <w:szCs w:val="21"/>
      <w:lang w:val="en-US" w:eastAsia="zh-CN" w:bidi="ar-SA"/>
    </w:rPr>
  </w:style>
  <w:style w:type="paragraph" w:customStyle="1" w:styleId="239">
    <w:name w:val="样式 209 10 磅"/>
    <w:pPr>
      <w:widowControl w:val="0"/>
      <w:jc w:val="both"/>
    </w:pPr>
    <w:rPr>
      <w:rFonts w:ascii="Calibri" w:eastAsia="宋体" w:cs="Calibri" w:hAnsi="Calibri"/>
      <w:kern w:val="2"/>
      <w:sz w:val="21"/>
      <w:szCs w:val="21"/>
      <w:lang w:val="en-US" w:eastAsia="zh-CN" w:bidi="ar-SA"/>
    </w:rPr>
  </w:style>
  <w:style w:type="paragraph" w:customStyle="1" w:styleId="240">
    <w:name w:val="样式 210 10 磅"/>
    <w:pPr>
      <w:widowControl w:val="0"/>
      <w:jc w:val="both"/>
    </w:pPr>
    <w:rPr>
      <w:rFonts w:ascii="Calibri" w:eastAsia="宋体" w:cs="Calibri" w:hAnsi="Calibri"/>
      <w:kern w:val="2"/>
      <w:sz w:val="21"/>
      <w:szCs w:val="21"/>
      <w:lang w:val="en-US" w:eastAsia="zh-CN" w:bidi="ar-SA"/>
    </w:rPr>
  </w:style>
  <w:style w:type="paragraph" w:customStyle="1" w:styleId="241">
    <w:name w:val="样式 211 10 磅"/>
    <w:pPr>
      <w:widowControl w:val="0"/>
      <w:jc w:val="both"/>
    </w:pPr>
    <w:rPr>
      <w:rFonts w:ascii="Calibri" w:eastAsia="宋体" w:cs="Calibri" w:hAnsi="Calibri"/>
      <w:kern w:val="2"/>
      <w:sz w:val="21"/>
      <w:szCs w:val="21"/>
      <w:lang w:val="en-US" w:eastAsia="zh-CN" w:bidi="ar-SA"/>
    </w:rPr>
  </w:style>
  <w:style w:type="paragraph" w:customStyle="1" w:styleId="242">
    <w:name w:val="样式 212 10 磅"/>
    <w:pPr>
      <w:widowControl w:val="0"/>
      <w:jc w:val="both"/>
    </w:pPr>
    <w:rPr>
      <w:rFonts w:ascii="Calibri" w:eastAsia="宋体" w:cs="Calibri" w:hAnsi="Calibri"/>
      <w:kern w:val="2"/>
      <w:sz w:val="21"/>
      <w:szCs w:val="21"/>
      <w:lang w:val="en-US" w:eastAsia="zh-CN" w:bidi="ar-SA"/>
    </w:rPr>
  </w:style>
  <w:style w:type="paragraph" w:customStyle="1" w:styleId="243">
    <w:name w:val="样式 213 10 磅"/>
    <w:pPr>
      <w:widowControl w:val="0"/>
      <w:jc w:val="both"/>
    </w:pPr>
    <w:rPr>
      <w:rFonts w:ascii="Calibri" w:eastAsia="宋体" w:cs="Calibri" w:hAnsi="Calibri"/>
      <w:kern w:val="2"/>
      <w:sz w:val="21"/>
      <w:szCs w:val="21"/>
      <w:lang w:val="en-US" w:eastAsia="zh-CN" w:bidi="ar-SA"/>
    </w:rPr>
  </w:style>
  <w:style w:type="paragraph" w:customStyle="1" w:styleId="244">
    <w:name w:val="样式 214 10 磅"/>
    <w:pPr>
      <w:widowControl w:val="0"/>
      <w:jc w:val="both"/>
    </w:pPr>
    <w:rPr>
      <w:rFonts w:ascii="Calibri" w:eastAsia="宋体" w:cs="Calibri" w:hAnsi="Calibri"/>
      <w:kern w:val="2"/>
      <w:sz w:val="21"/>
      <w:szCs w:val="21"/>
      <w:lang w:val="en-US" w:eastAsia="zh-CN" w:bidi="ar-SA"/>
    </w:rPr>
  </w:style>
  <w:style w:type="paragraph" w:customStyle="1" w:styleId="245">
    <w:name w:val="样式 215 10 磅"/>
    <w:pPr>
      <w:widowControl w:val="0"/>
      <w:jc w:val="both"/>
    </w:pPr>
    <w:rPr>
      <w:rFonts w:ascii="Calibri" w:eastAsia="宋体" w:cs="Calibri" w:hAnsi="Calibri"/>
      <w:kern w:val="2"/>
      <w:sz w:val="21"/>
      <w:szCs w:val="21"/>
      <w:lang w:val="en-US" w:eastAsia="zh-CN" w:bidi="ar-SA"/>
    </w:rPr>
  </w:style>
  <w:style w:type="paragraph" w:customStyle="1" w:styleId="246">
    <w:name w:val="样式 216 10 磅"/>
    <w:pPr>
      <w:widowControl w:val="0"/>
      <w:jc w:val="both"/>
    </w:pPr>
    <w:rPr>
      <w:rFonts w:ascii="Calibri" w:eastAsia="宋体" w:cs="Calibri" w:hAnsi="Calibri"/>
      <w:kern w:val="2"/>
      <w:sz w:val="21"/>
      <w:szCs w:val="21"/>
      <w:lang w:val="en-US" w:eastAsia="zh-CN" w:bidi="ar-SA"/>
    </w:rPr>
  </w:style>
  <w:style w:type="paragraph" w:customStyle="1" w:styleId="247">
    <w:name w:val="样式 217 10 磅"/>
    <w:pPr>
      <w:widowControl w:val="0"/>
      <w:jc w:val="both"/>
    </w:pPr>
    <w:rPr>
      <w:rFonts w:ascii="Calibri" w:eastAsia="宋体" w:cs="Calibri" w:hAnsi="Calibri"/>
      <w:kern w:val="2"/>
      <w:sz w:val="21"/>
      <w:szCs w:val="21"/>
      <w:lang w:val="en-US" w:eastAsia="zh-CN" w:bidi="ar-SA"/>
    </w:rPr>
  </w:style>
  <w:style w:type="paragraph" w:customStyle="1" w:styleId="248">
    <w:name w:val="样式 218 10 磅"/>
    <w:pPr>
      <w:widowControl w:val="0"/>
      <w:jc w:val="both"/>
    </w:pPr>
    <w:rPr>
      <w:rFonts w:ascii="Calibri" w:eastAsia="宋体" w:cs="Calibri" w:hAnsi="Calibri"/>
      <w:kern w:val="2"/>
      <w:sz w:val="21"/>
      <w:szCs w:val="21"/>
      <w:lang w:val="en-US" w:eastAsia="zh-CN" w:bidi="ar-SA"/>
    </w:rPr>
  </w:style>
  <w:style w:type="paragraph" w:customStyle="1" w:styleId="249">
    <w:name w:val="样式 219 10 磅"/>
    <w:pPr>
      <w:widowControl w:val="0"/>
      <w:jc w:val="both"/>
    </w:pPr>
    <w:rPr>
      <w:rFonts w:ascii="Calibri" w:eastAsia="宋体" w:cs="Calibri" w:hAnsi="Calibri"/>
      <w:kern w:val="2"/>
      <w:sz w:val="21"/>
      <w:szCs w:val="21"/>
      <w:lang w:val="en-US" w:eastAsia="zh-CN" w:bidi="ar-SA"/>
    </w:rPr>
  </w:style>
  <w:style w:type="paragraph" w:customStyle="1" w:styleId="250">
    <w:name w:val="样式 220 10 磅"/>
    <w:pPr>
      <w:widowControl w:val="0"/>
      <w:jc w:val="both"/>
    </w:pPr>
    <w:rPr>
      <w:rFonts w:ascii="Calibri" w:eastAsia="宋体" w:cs="Calibri" w:hAnsi="Calibri"/>
      <w:kern w:val="2"/>
      <w:sz w:val="21"/>
      <w:szCs w:val="21"/>
      <w:lang w:val="en-US" w:eastAsia="zh-CN" w:bidi="ar-SA"/>
    </w:rPr>
  </w:style>
  <w:style w:type="paragraph" w:customStyle="1" w:styleId="251">
    <w:name w:val="样式 221 10 磅"/>
    <w:pPr>
      <w:widowControl w:val="0"/>
      <w:jc w:val="both"/>
    </w:pPr>
    <w:rPr>
      <w:rFonts w:ascii="Calibri" w:eastAsia="宋体" w:cs="Calibri" w:hAnsi="Calibri"/>
      <w:kern w:val="2"/>
      <w:sz w:val="21"/>
      <w:szCs w:val="21"/>
      <w:lang w:val="en-US" w:eastAsia="zh-CN" w:bidi="ar-SA"/>
    </w:rPr>
  </w:style>
  <w:style w:type="paragraph" w:customStyle="1" w:styleId="252">
    <w:name w:val="样式 222 10 磅"/>
    <w:pPr>
      <w:widowControl w:val="0"/>
      <w:jc w:val="both"/>
    </w:pPr>
    <w:rPr>
      <w:rFonts w:ascii="Calibri" w:eastAsia="宋体" w:cs="Calibri" w:hAnsi="Calibri"/>
      <w:kern w:val="2"/>
      <w:sz w:val="21"/>
      <w:szCs w:val="21"/>
      <w:lang w:val="en-US" w:eastAsia="zh-CN" w:bidi="ar-SA"/>
    </w:rPr>
  </w:style>
  <w:style w:type="paragraph" w:customStyle="1" w:styleId="253">
    <w:name w:val="样式 223 10 磅"/>
    <w:pPr>
      <w:widowControl w:val="0"/>
      <w:jc w:val="both"/>
    </w:pPr>
    <w:rPr>
      <w:rFonts w:ascii="Calibri" w:eastAsia="宋体" w:cs="Calibri" w:hAnsi="Calibri"/>
      <w:kern w:val="2"/>
      <w:sz w:val="21"/>
      <w:szCs w:val="21"/>
      <w:lang w:val="en-US" w:eastAsia="zh-CN" w:bidi="ar-SA"/>
    </w:rPr>
  </w:style>
  <w:style w:type="paragraph" w:customStyle="1" w:styleId="254">
    <w:name w:val="样式 224 10 磅"/>
    <w:pPr>
      <w:widowControl w:val="0"/>
      <w:jc w:val="both"/>
    </w:pPr>
    <w:rPr>
      <w:rFonts w:ascii="Calibri" w:eastAsia="宋体" w:cs="Calibri" w:hAnsi="Calibri"/>
      <w:kern w:val="2"/>
      <w:sz w:val="21"/>
      <w:szCs w:val="21"/>
      <w:lang w:val="en-US" w:eastAsia="zh-CN" w:bidi="ar-SA"/>
    </w:rPr>
  </w:style>
  <w:style w:type="paragraph" w:customStyle="1" w:styleId="255">
    <w:name w:val="样式 225 10 磅"/>
    <w:pPr>
      <w:widowControl w:val="0"/>
      <w:jc w:val="both"/>
    </w:pPr>
    <w:rPr>
      <w:rFonts w:ascii="Calibri" w:eastAsia="宋体" w:cs="Calibri" w:hAnsi="Calibri"/>
      <w:kern w:val="2"/>
      <w:sz w:val="21"/>
      <w:szCs w:val="21"/>
      <w:lang w:val="en-US" w:eastAsia="zh-CN" w:bidi="ar-SA"/>
    </w:rPr>
  </w:style>
  <w:style w:type="paragraph" w:customStyle="1" w:styleId="256">
    <w:name w:val="样式 226 10 磅"/>
    <w:pPr>
      <w:widowControl w:val="0"/>
      <w:jc w:val="both"/>
    </w:pPr>
    <w:rPr>
      <w:rFonts w:ascii="Calibri" w:eastAsia="宋体" w:cs="Calibri" w:hAnsi="Calibri"/>
      <w:kern w:val="2"/>
      <w:sz w:val="21"/>
      <w:szCs w:val="21"/>
      <w:lang w:val="en-US" w:eastAsia="zh-CN" w:bidi="ar-SA"/>
    </w:rPr>
  </w:style>
  <w:style w:type="paragraph" w:customStyle="1" w:styleId="257">
    <w:name w:val="样式 227 10 磅"/>
    <w:pPr>
      <w:widowControl w:val="0"/>
      <w:jc w:val="both"/>
    </w:pPr>
    <w:rPr>
      <w:rFonts w:ascii="Calibri" w:eastAsia="宋体" w:cs="Calibri" w:hAnsi="Calibri"/>
      <w:kern w:val="2"/>
      <w:sz w:val="21"/>
      <w:szCs w:val="21"/>
      <w:lang w:val="en-US" w:eastAsia="zh-CN" w:bidi="ar-SA"/>
    </w:rPr>
  </w:style>
  <w:style w:type="paragraph" w:customStyle="1" w:styleId="258">
    <w:name w:val="样式 228 10 磅"/>
    <w:pPr>
      <w:widowControl w:val="0"/>
      <w:jc w:val="both"/>
    </w:pPr>
    <w:rPr>
      <w:rFonts w:ascii="Calibri" w:eastAsia="宋体" w:cs="Calibri" w:hAnsi="Calibri"/>
      <w:kern w:val="2"/>
      <w:sz w:val="21"/>
      <w:szCs w:val="21"/>
      <w:lang w:val="en-US" w:eastAsia="zh-CN" w:bidi="ar-SA"/>
    </w:rPr>
  </w:style>
  <w:style w:type="paragraph" w:customStyle="1" w:styleId="259">
    <w:name w:val="样式 229 10 磅"/>
    <w:pPr>
      <w:widowControl w:val="0"/>
      <w:jc w:val="both"/>
    </w:pPr>
    <w:rPr>
      <w:rFonts w:ascii="Calibri" w:eastAsia="宋体" w:cs="Calibri" w:hAnsi="Calibri"/>
      <w:kern w:val="2"/>
      <w:sz w:val="21"/>
      <w:szCs w:val="21"/>
      <w:lang w:val="en-US" w:eastAsia="zh-CN" w:bidi="ar-SA"/>
    </w:rPr>
  </w:style>
  <w:style w:type="paragraph" w:customStyle="1" w:styleId="260">
    <w:name w:val="样式 230 10 磅"/>
    <w:pPr>
      <w:widowControl w:val="0"/>
      <w:jc w:val="both"/>
    </w:pPr>
    <w:rPr>
      <w:rFonts w:ascii="Calibri" w:eastAsia="宋体" w:cs="Calibri" w:hAnsi="Calibri"/>
      <w:kern w:val="2"/>
      <w:sz w:val="21"/>
      <w:szCs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fontTable" Target="fontTable.xml"/></Relationships>
</file>

<file path=docProps/app.xml><?xml version="1.0" encoding="utf-8"?>
<Properties xmlns="http://schemas.openxmlformats.org/officeDocument/2006/extended-properties">
  <Template>Normal.eit</Template>
  <TotalTime>1475</TotalTime>
  <Application>Yozo_Office</Application>
  <Pages>12</Pages>
  <Words>12239</Words>
  <Characters>13145</Characters>
  <Lines>370</Lines>
  <Paragraphs>189</Paragraphs>
  <CharactersWithSpaces>13249</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title>武汉海关关于发布境外技术性贸易措施风险信息的提示</dc:title>
  <dc:creator>曾繁</dc:creator>
  <cp:lastModifiedBy>汪绍文</cp:lastModifiedBy>
  <cp:revision>5</cp:revision>
  <dcterms:created xsi:type="dcterms:W3CDTF">2024-01-26T03:30:00Z</dcterms:created>
  <dcterms:modified xsi:type="dcterms:W3CDTF">2026-07-02T09:20:48Z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2052-11.1.0.13703</vt:lpwstr>
  </property>
  <property fmtid="{D5CDD505-2E9C-101B-9397-08002B2CF9AE}" pid="3" name="ICV">
    <vt:lpwstr>CF9849E3307943108F88771BECF146AD</vt:lpwstr>
  </property>
</Properties>
</file>