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utoSpaceDN w:val="0"/>
        <w:adjustRightInd w:val="0"/>
        <w:snapToGrid w:val="0"/>
        <w:spacing w:line="560" w:lineRule="exact"/>
        <w:ind w:firstLine="420"/>
        <w:jc w:val="center"/>
        <w:rPr>
          <w:rFonts w:ascii="方正小标宋_GBK" w:eastAsia="方正小标宋_GBK" w:cs="Times New Roman"/>
          <w:sz w:val="44"/>
          <w:szCs w:val="44"/>
        </w:rPr>
      </w:pPr>
      <w:bookmarkStart w:id="0" w:name="_GoBack"/>
      <w:bookmarkEnd w:id="0"/>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202608</w:t>
      </w:r>
      <w:r>
        <w:rPr>
          <w:rFonts w:ascii="方正楷体_GBK" w:eastAsia="方正楷体_GBK" w:cs="方正楷体_GBK" w:hint="eastAsia"/>
          <w:sz w:val="32"/>
          <w:szCs w:val="32"/>
        </w:rPr>
        <w:t>期总第</w:t>
      </w:r>
      <w:r>
        <w:rPr>
          <w:rFonts w:ascii="方正楷体_GBK" w:eastAsia="方正楷体_GBK" w:cs="方正楷体_GBK"/>
          <w:sz w:val="32"/>
          <w:szCs w:val="32"/>
        </w:rPr>
        <w:t>75</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2"/>
        <w:gridCol w:w="596"/>
        <w:gridCol w:w="12193"/>
      </w:tblGrid>
      <w:tr>
        <w:trPr>
          <w:trHeight w:val="593"/>
        </w:trPr>
        <w:tc>
          <w:tcPr>
            <w:tcW w:w="1382"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596"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93"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1183"/>
        </w:trPr>
        <w:tc>
          <w:tcPr>
            <w:tcW w:w="1382" w:type="dxa"/>
            <w:vMerge w:val="restart"/>
            <w:vAlign w:val="center"/>
          </w:tcPr>
          <w:p>
            <w:pPr>
              <w:pStyle w:val="287"/>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93" w:type="dxa"/>
            <w:vAlign w:val="center"/>
          </w:tcPr>
          <w:p>
            <w:pPr>
              <w:jc w:val="left"/>
              <w:rPr>
                <w:rFonts w:ascii="宋体" w:cs="宋体" w:hint="eastAsia"/>
                <w:sz w:val="22"/>
              </w:rPr>
            </w:pPr>
            <w:r>
              <w:rPr>
                <w:rFonts w:ascii="宋体" w:cs="宋体" w:hint="eastAsia"/>
                <w:sz w:val="22"/>
              </w:rPr>
              <w:t xml:space="preserve">节能计划：回顾能源部制定节能标准的分析方法信息请求和评论请求。能源部要求就能源部在为涵盖的产品和设备设定节能标准时使用的假设、模型和方法进行评议。与此相关，能源部还要求对总结美国国家科学、工程和医学科学院建筑和设备性能标准制定方法审查委员会所做工作的报告发表评论。能源部还欢迎提交与能源部如何实施NASEM报告建议以及能源部评估一般节能标准的分析方法相关的数据、同行评审研究和其他相关信息。 </w:t>
            </w:r>
          </w:p>
        </w:tc>
      </w:tr>
      <w:tr>
        <w:trPr>
          <w:trHeight w:val="1039"/>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93" w:type="dxa"/>
            <w:vAlign w:val="center"/>
          </w:tcPr>
          <w:p>
            <w:pPr>
              <w:pStyle w:val="197"/>
              <w:jc w:val="left"/>
              <w:rPr>
                <w:rFonts w:ascii="宋体" w:cs="宋体" w:hint="eastAsia"/>
                <w:sz w:val="22"/>
              </w:rPr>
            </w:pPr>
            <w:r>
              <w:rPr>
                <w:rFonts w:ascii="宋体" w:cs="宋体" w:hint="eastAsia"/>
                <w:sz w:val="22"/>
              </w:rPr>
              <w:t>节能计划：考虑消费品和某些商业</w:t>
            </w:r>
            <w:r>
              <w:rPr>
                <w:rFonts w:ascii="宋体" w:cs="宋体"/>
                <w:sz w:val="22"/>
              </w:rPr>
              <w:t>或</w:t>
            </w:r>
            <w:r>
              <w:rPr>
                <w:rFonts w:ascii="宋体" w:cs="宋体" w:hint="eastAsia"/>
                <w:sz w:val="22"/>
              </w:rPr>
              <w:t>工业设备的新的或修订的节能标准和测试程序的程序、解释和政策</w:t>
            </w:r>
            <w:r>
              <w:rPr>
                <w:rFonts w:ascii="宋体" w:cs="宋体"/>
                <w:sz w:val="22"/>
              </w:rPr>
              <w:t>。</w:t>
            </w:r>
            <w:r>
              <w:rPr>
                <w:rFonts w:ascii="宋体" w:cs="宋体" w:hint="eastAsia"/>
                <w:sz w:val="22"/>
              </w:rPr>
              <w:t xml:space="preserve">美国能源部建议更新该部当前的规则制定方法，标题为“考虑消费品和某些商业/工业设备的新的或修订的节能标准和测试程序的程序、解释和政策”。 </w:t>
            </w:r>
          </w:p>
        </w:tc>
      </w:tr>
      <w:tr>
        <w:trPr>
          <w:trHeight w:val="1042"/>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93" w:type="dxa"/>
            <w:vAlign w:val="center"/>
          </w:tcPr>
          <w:p>
            <w:pPr>
              <w:pStyle w:val="198"/>
              <w:jc w:val="left"/>
              <w:rPr>
                <w:rFonts w:ascii="宋体" w:cs="宋体" w:hint="eastAsia"/>
                <w:sz w:val="22"/>
              </w:rPr>
            </w:pPr>
            <w:r>
              <w:rPr>
                <w:rFonts w:ascii="宋体" w:cs="宋体" w:hint="eastAsia"/>
                <w:sz w:val="22"/>
              </w:rPr>
              <w:t>管道安全：危险液体和气体输送管道的修复标准</w:t>
            </w:r>
            <w:r>
              <w:rPr>
                <w:rFonts w:ascii="宋体" w:cs="宋体"/>
                <w:sz w:val="22"/>
              </w:rPr>
              <w:t>。</w:t>
            </w:r>
            <w:r>
              <w:rPr>
                <w:rFonts w:ascii="宋体" w:cs="宋体" w:hint="eastAsia"/>
                <w:sz w:val="22"/>
              </w:rPr>
              <w:t>管道和危险材料安全管理局（PHMSA）提议更新并澄清联邦管道安全法规中气体传输和危险液体管道的异常响应标准。在二十年技术发展的推动下，现代工程概念使运营商能够以更低的成本更有效地识别、调度和修复管道异常。PHMSA建议将这些改进的安全实践纳入其法规，最终确定最近天然气输送管道规则制定中提出的某些安全改进，并将这些变化扩展到危险液体管道。此外，PHMSA对其气体和危险液体维修法规提出了某些非实质性修订，以提高合规性。</w:t>
            </w:r>
          </w:p>
        </w:tc>
      </w:tr>
      <w:tr>
        <w:trPr>
          <w:trHeight w:val="1184"/>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93" w:type="dxa"/>
            <w:vAlign w:val="center"/>
          </w:tcPr>
          <w:p>
            <w:pPr>
              <w:pStyle w:val="199"/>
              <w:jc w:val="left"/>
              <w:rPr>
                <w:rFonts w:ascii="宋体" w:cs="宋体" w:hint="eastAsia"/>
                <w:sz w:val="22"/>
              </w:rPr>
            </w:pPr>
            <w:r>
              <w:rPr>
                <w:rFonts w:ascii="宋体" w:cs="宋体" w:hint="eastAsia"/>
                <w:sz w:val="22"/>
              </w:rPr>
              <w:t>促进下一代911服务（NG911）的实施</w:t>
            </w:r>
            <w:r>
              <w:rPr>
                <w:rFonts w:ascii="宋体" w:cs="宋体"/>
                <w:sz w:val="22"/>
              </w:rPr>
              <w:t>。</w:t>
            </w:r>
            <w:r>
              <w:rPr>
                <w:rFonts w:ascii="宋体" w:cs="宋体" w:hint="eastAsia"/>
                <w:sz w:val="22"/>
              </w:rPr>
              <w:t>在本文件中，联邦通信委员会（FCC或委员会）提出了增强下一代911（NG911）互操作性和提高NG911可访问性的规则。具体来说，拟议规则制定的进一步通知提议要求NG911服务提供商对911流量进行多方州际互操作性测试。拟议规则制定的进一步通知还寻求评议911当局如何将直接视频通话等先进技术集成到NG911网络中以提高可访问性。</w:t>
            </w:r>
          </w:p>
        </w:tc>
      </w:tr>
      <w:tr>
        <w:trPr>
          <w:trHeight w:val="867"/>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93" w:type="dxa"/>
            <w:vAlign w:val="center"/>
          </w:tcPr>
          <w:p>
            <w:pPr>
              <w:pStyle w:val="200"/>
              <w:jc w:val="left"/>
              <w:rPr>
                <w:rFonts w:ascii="宋体" w:cs="宋体" w:hint="eastAsia"/>
                <w:sz w:val="22"/>
              </w:rPr>
            </w:pPr>
            <w:r>
              <w:rPr>
                <w:rFonts w:ascii="宋体" w:cs="宋体" w:hint="eastAsia"/>
                <w:sz w:val="22"/>
              </w:rPr>
              <w:t>改革NRC的辐射防护框架并使其现代化</w:t>
            </w:r>
            <w:r>
              <w:rPr>
                <w:rFonts w:ascii="宋体" w:cs="宋体"/>
                <w:sz w:val="22"/>
              </w:rPr>
              <w:t>。</w:t>
            </w:r>
            <w:r>
              <w:rPr>
                <w:rFonts w:ascii="宋体" w:cs="宋体" w:hint="eastAsia"/>
                <w:sz w:val="22"/>
              </w:rPr>
              <w:t>美国核管理委员会（NRC）提议修订其管理辐射防护标准的法规。这些拟议的修订将涉及第14300号行政命令第5（b）节，“命令核管理委员会改革”，并将反映自1991年NRC对这些标准进行最后一次重大修订以来NRC在辐射防护领域的经验和其他发展。此外，NRC正在为公众评议发布实施指南草案。</w:t>
            </w:r>
          </w:p>
        </w:tc>
      </w:tr>
      <w:tr>
        <w:trPr>
          <w:trHeight w:val="129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93" w:type="dxa"/>
            <w:vAlign w:val="center"/>
          </w:tcPr>
          <w:p>
            <w:pPr>
              <w:pStyle w:val="201"/>
              <w:jc w:val="left"/>
              <w:rPr>
                <w:rFonts w:ascii="宋体" w:cs="宋体" w:hint="eastAsia"/>
                <w:sz w:val="22"/>
              </w:rPr>
            </w:pPr>
            <w:r>
              <w:rPr>
                <w:rFonts w:ascii="宋体" w:cs="宋体" w:hint="eastAsia"/>
                <w:sz w:val="22"/>
              </w:rPr>
              <w:t>美国胴体牛肉等级标准。美国农业部农业营销服务局（AMS）正在就美国胴体牛肉等级标准的修订征求公众意见。这一征求意见的请求源于美国和牛协会的一份请愿书，该请愿书要求AMS考虑在美国农业部牛肉的主要等级中增加大理石花纹等级，以更好地表征现代遗传学，而现代遗传学并不总是在当前的大理石花纹等级中进行区分。AMS还就是否取消对30个月以下的尸体的骨骼成熟度要求征求公众评议。关于牛肉嫩度的科学研究和数据表明，可以取消骨骼成熟度的要求。</w:t>
            </w:r>
          </w:p>
        </w:tc>
      </w:tr>
      <w:tr>
        <w:trPr>
          <w:trHeight w:val="114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93" w:type="dxa"/>
            <w:vAlign w:val="center"/>
          </w:tcPr>
          <w:p>
            <w:pPr>
              <w:jc w:val="left"/>
              <w:rPr>
                <w:rFonts w:ascii="宋体" w:cs="宋体" w:hint="eastAsia"/>
                <w:sz w:val="22"/>
              </w:rPr>
            </w:pPr>
            <w:r>
              <w:rPr>
                <w:rFonts w:ascii="宋体" w:cs="宋体" w:hint="eastAsia"/>
                <w:sz w:val="22"/>
              </w:rPr>
              <w:t>2027年及以后型号重型公路发动机的修订和不合格处罚，以及配备SCR的柴油发动机的激励条款的修订</w:t>
            </w:r>
            <w:r>
              <w:rPr>
                <w:rFonts w:ascii="宋体" w:cs="宋体"/>
                <w:sz w:val="22"/>
              </w:rPr>
              <w:t>。</w:t>
            </w:r>
            <w:r>
              <w:rPr>
                <w:rFonts w:ascii="宋体" w:cs="宋体" w:hint="eastAsia"/>
                <w:sz w:val="22"/>
              </w:rPr>
              <w:t>美国环境保护署（EPA）正在提议对与2027年及以后型号重型公路发动机相关的某些合规条款和测试程序进行监管修订。该等修订将包括监管可使用年期及排放相关保修期的变更。EPA还提议增加某些法规合规性条款的清晰度，并纠正法规中的错误，以支持MYs 2027及更高版本的重型公路发动机和车辆计划。</w:t>
            </w:r>
          </w:p>
        </w:tc>
      </w:tr>
      <w:tr>
        <w:trPr>
          <w:trHeight w:val="1260"/>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93" w:type="dxa"/>
            <w:vAlign w:val="center"/>
          </w:tcPr>
          <w:p>
            <w:pPr>
              <w:jc w:val="left"/>
              <w:rPr>
                <w:rFonts w:ascii="宋体" w:cs="宋体" w:hint="eastAsia"/>
                <w:sz w:val="22"/>
              </w:rPr>
            </w:pPr>
            <w:r>
              <w:rPr>
                <w:rFonts w:ascii="宋体" w:cs="宋体" w:hint="eastAsia"/>
                <w:sz w:val="22"/>
              </w:rPr>
              <w:t>实现反应堆许可、安全监督和选址实践的现代化</w:t>
            </w:r>
            <w:r>
              <w:rPr>
                <w:rFonts w:ascii="宋体" w:cs="宋体"/>
                <w:sz w:val="22"/>
              </w:rPr>
              <w:t>。</w:t>
            </w:r>
            <w:r>
              <w:rPr>
                <w:rFonts w:ascii="宋体" w:cs="宋体" w:hint="eastAsia"/>
                <w:sz w:val="22"/>
              </w:rPr>
              <w:t>根据第14300号行政命令“命令核管理委员会改革”，美国核管理委员会（NRC）正在对其法规进行审查和大规模修订。该拟议规则旨在实现反应堆许可、安全监督和选址实践的现代化，涉及第14300号行政命令第5(f)、5(h)和5(i)节，以及有助于增加电网发电量的其他项目。此外，作为NRC对其所有法规进行总体审查的一部分，该机构确定了对NRC法规的一些进一步修改，这些修改将提高其许可流程的效率和效力，这些修改也包含在本规则制定中。</w:t>
            </w:r>
          </w:p>
        </w:tc>
      </w:tr>
      <w:tr>
        <w:trPr>
          <w:trHeight w:val="896"/>
        </w:trPr>
        <w:tc>
          <w:tcPr>
            <w:tcW w:w="1382" w:type="dxa"/>
            <w:tcBorders>
              <w:tl2br w:val="nil"/>
              <w:tr2bl w:val="nil"/>
            </w:tcBorders>
            <w:vAlign w:val="center"/>
          </w:tcPr>
          <w:p>
            <w:pPr>
              <w:pStyle w:val="261"/>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埃及</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93" w:type="dxa"/>
            <w:vAlign w:val="center"/>
          </w:tcPr>
          <w:p>
            <w:pPr>
              <w:pStyle w:val="204"/>
              <w:jc w:val="left"/>
              <w:rPr>
                <w:rFonts w:ascii="宋体" w:cs="宋体"/>
                <w:sz w:val="22"/>
              </w:rPr>
            </w:pPr>
            <w:r>
              <w:rPr>
                <w:rFonts w:ascii="宋体" w:cs="宋体"/>
                <w:sz w:val="22"/>
              </w:rPr>
              <w:t>一次性医用检查手套第3部分：聚氯乙烯手套规范”埃及标准ES 1595-3草案。埃及标准ES 1595-3草案规定了用于医疗检查、诊断或治疗程序的包装无菌或散装非无菌聚氯乙烯手套的要求，以保护患者和使用者免受交叉污染。还涵盖了用于处理受污染医用材料的聚氯乙烯手套。值得一提的是，本标准草案采用了ISO 11193-2:2006的技术内容。</w:t>
            </w:r>
          </w:p>
        </w:tc>
      </w:tr>
      <w:tr>
        <w:trPr>
          <w:trHeight w:val="670"/>
        </w:trPr>
        <w:tc>
          <w:tcPr>
            <w:tcW w:w="1382" w:type="dxa"/>
            <w:tcBorders>
              <w:tl2br w:val="nil"/>
              <w:tr2bl w:val="nil"/>
            </w:tcBorders>
            <w:vAlign w:val="center"/>
          </w:tcPr>
          <w:p>
            <w:pPr>
              <w:pStyle w:val="261"/>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澳大利亚</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93" w:type="dxa"/>
            <w:vAlign w:val="center"/>
          </w:tcPr>
          <w:p>
            <w:pPr>
              <w:pStyle w:val="205"/>
              <w:jc w:val="left"/>
              <w:rPr>
                <w:rFonts w:ascii="宋体" w:cs="宋体" w:hint="eastAsia"/>
                <w:sz w:val="22"/>
              </w:rPr>
            </w:pPr>
            <w:r>
              <w:rPr>
                <w:rFonts w:ascii="宋体" w:cs="宋体"/>
                <w:sz w:val="22"/>
              </w:rPr>
              <w:t>对含磁铁玩具强制性安全标准的有限审查含有磁铁的玩具强制性标准于2010年推出，旨在降低儿童因摄入小型大功率磁铁或儿童玩具附带的磁性组件而导致严重伤害或死亡的风险。强制性标准涵盖了设计、施工、测试和信息标签的要求。</w:t>
            </w:r>
          </w:p>
        </w:tc>
      </w:tr>
      <w:tr>
        <w:trPr>
          <w:trHeight w:val="864"/>
        </w:trPr>
        <w:tc>
          <w:tcPr>
            <w:tcW w:w="1382" w:type="dxa"/>
            <w:vMerge w:val="restart"/>
            <w:tcBorders>
              <w:tl2br w:val="nil"/>
              <w:tr2bl w:val="nil"/>
            </w:tcBorders>
            <w:vAlign w:val="center"/>
          </w:tcPr>
          <w:p>
            <w:pPr>
              <w:pStyle w:val="288"/>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巴西</w:t>
            </w:r>
          </w:p>
          <w:p>
            <w:pPr>
              <w:pStyle w:val="289"/>
              <w:widowControl/>
              <w:jc w:val="center"/>
              <w:textAlignment w:val="center"/>
              <w:rPr>
                <w:rFonts w:ascii="Times New Roman" w:cs="Times New Roman" w:hAnsi="Times New Roman"/>
                <w:color w:val="000000"/>
                <w:sz w:val="24"/>
                <w:szCs w:val="24"/>
              </w:rPr>
            </w:p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93" w:type="dxa"/>
            <w:vAlign w:val="center"/>
          </w:tcPr>
          <w:p>
            <w:pPr>
              <w:jc w:val="left"/>
              <w:rPr>
                <w:rFonts w:ascii="宋体" w:cs="宋体" w:hint="eastAsia"/>
                <w:sz w:val="22"/>
              </w:rPr>
            </w:pPr>
            <w:r>
              <w:rPr>
                <w:rFonts w:ascii="宋体" w:cs="宋体" w:hint="eastAsia"/>
                <w:sz w:val="22"/>
              </w:rPr>
              <w:t>包含移动电话、移动电话中使用的锂电池和充电器的ANATEL认证识别原则和指南的程序</w:t>
            </w:r>
            <w:r>
              <w:rPr>
                <w:rFonts w:ascii="宋体" w:cs="宋体"/>
                <w:sz w:val="22"/>
              </w:rPr>
              <w:t>。</w:t>
            </w:r>
            <w:r>
              <w:rPr>
                <w:rFonts w:ascii="宋体" w:cs="宋体" w:hint="eastAsia"/>
                <w:sz w:val="22"/>
              </w:rPr>
              <w:t>为移动电话、移动电话中使用的锂电池和充电器制定ANATEL认证标识的原则和指南，包括采用旨在改善认证标识的认证、可追溯性和控制的机制。</w:t>
            </w:r>
          </w:p>
        </w:tc>
      </w:tr>
      <w:tr>
        <w:trPr>
          <w:trHeight w:val="38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93" w:type="dxa"/>
            <w:vAlign w:val="center"/>
          </w:tcPr>
          <w:p>
            <w:pPr>
              <w:jc w:val="left"/>
              <w:rPr>
                <w:rFonts w:ascii="宋体" w:cs="宋体" w:hint="eastAsia"/>
                <w:sz w:val="22"/>
              </w:rPr>
            </w:pPr>
            <w:r>
              <w:rPr>
                <w:rFonts w:ascii="宋体" w:cs="宋体" w:hint="eastAsia"/>
                <w:sz w:val="22"/>
              </w:rPr>
              <w:t>ANSN第73号法令，2022年6月26日</w:t>
            </w:r>
            <w:r>
              <w:rPr>
                <w:rFonts w:ascii="宋体" w:cs="宋体"/>
                <w:sz w:val="22"/>
              </w:rPr>
              <w:t>。</w:t>
            </w:r>
            <w:r>
              <w:rPr>
                <w:rFonts w:ascii="宋体" w:cs="宋体" w:hint="eastAsia"/>
                <w:sz w:val="22"/>
              </w:rPr>
              <w:t>批准附件1所载由标准化司(DINORM)编制的国家核安全局2026-2027两年期监管议程。</w:t>
            </w:r>
          </w:p>
        </w:tc>
      </w:tr>
      <w:tr>
        <w:trPr>
          <w:trHeight w:val="115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93" w:type="dxa"/>
            <w:vAlign w:val="center"/>
          </w:tcPr>
          <w:p>
            <w:pPr>
              <w:jc w:val="left"/>
              <w:rPr>
                <w:rFonts w:ascii="宋体" w:cs="宋体" w:hint="eastAsia"/>
                <w:sz w:val="22"/>
              </w:rPr>
            </w:pPr>
            <w:r>
              <w:rPr>
                <w:rFonts w:ascii="宋体" w:cs="宋体" w:hint="eastAsia"/>
                <w:sz w:val="22"/>
              </w:rPr>
              <w:t xml:space="preserve">关于任何原产地的动物饲料进入巴西联邦共和国的动物健康要求。确定了适用于向巴西进口动物饲料的动物健康要求。该文件包含四个附件，如下：附件一动物饲料国际兽医证书范本；附件二灭菌宠物食品国际兽医证书范本；附件三挤压宠物食品国际兽医证书范本；和附件四片状宠物食品国际兽医证书范本。这些要求在该措施生效时适用。然而，巴西将继续承认和接受先前与出口国双边商定的兽医证书，前提是这些证书是在该措施向世贸组织通报后180天内签发的。 </w:t>
            </w:r>
          </w:p>
        </w:tc>
      </w:tr>
      <w:tr>
        <w:trPr>
          <w:trHeight w:val="722"/>
        </w:trPr>
        <w:tc>
          <w:tcPr>
            <w:tcW w:w="1382" w:type="dxa"/>
            <w:vMerge w:val="restart"/>
            <w:tcBorders>
              <w:tl2br w:val="nil"/>
              <w:tr2bl w:val="nil"/>
            </w:tcBorders>
            <w:vAlign w:val="center"/>
          </w:tcPr>
          <w:p>
            <w:pPr>
              <w:pStyle w:val="290"/>
              <w:widowControl/>
              <w:jc w:val="center"/>
              <w:textAlignment w:val="center"/>
            </w:pPr>
            <w:r>
              <w:t>多米尼加</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93" w:type="dxa"/>
            <w:vAlign w:val="center"/>
          </w:tcPr>
          <w:p>
            <w:pPr>
              <w:pStyle w:val="103"/>
              <w:jc w:val="left"/>
              <w:rPr>
                <w:rFonts w:ascii="宋体" w:cs="宋体" w:hint="eastAsia"/>
                <w:sz w:val="22"/>
              </w:rPr>
            </w:pPr>
            <w:r>
              <w:rPr>
                <w:rFonts w:ascii="宋体" w:cs="宋体" w:hint="eastAsia"/>
                <w:sz w:val="22"/>
              </w:rPr>
              <w:t>D-DNS 2：第9部分：202x农药标签要求</w:t>
            </w:r>
            <w:r>
              <w:rPr>
                <w:rFonts w:ascii="宋体" w:cs="宋体"/>
                <w:sz w:val="22"/>
              </w:rPr>
              <w:t>。</w:t>
            </w:r>
            <w:r>
              <w:rPr>
                <w:rFonts w:ascii="宋体" w:cs="宋体" w:hint="eastAsia"/>
                <w:sz w:val="22"/>
              </w:rPr>
              <w:t>本标准规定了所有终端用户使用的农药（包括气雾杀虫剂）标签上必须标注的强制性信息要求。本标准不适用于人用药品，也不适用于仅用于工业环境中进行再配制或处置的活性成分及散装制剂。</w:t>
            </w:r>
          </w:p>
        </w:tc>
      </w:tr>
      <w:tr>
        <w:trPr>
          <w:trHeight w:val="66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93" w:type="dxa"/>
            <w:vAlign w:val="center"/>
          </w:tcPr>
          <w:p>
            <w:pPr>
              <w:jc w:val="left"/>
              <w:rPr>
                <w:rFonts w:ascii="宋体" w:cs="宋体" w:hint="eastAsia"/>
                <w:sz w:val="22"/>
              </w:rPr>
            </w:pPr>
            <w:r>
              <w:rPr>
                <w:rFonts w:ascii="宋体" w:cs="宋体" w:hint="eastAsia"/>
                <w:sz w:val="22"/>
              </w:rPr>
              <w:t>D-DNS CRS 18:20 11-蜂蜜规范</w:t>
            </w:r>
            <w:r>
              <w:rPr>
                <w:rFonts w:ascii="宋体" w:cs="宋体"/>
                <w:sz w:val="22"/>
              </w:rPr>
              <w:t>。</w:t>
            </w:r>
            <w:r>
              <w:rPr>
                <w:rFonts w:ascii="宋体" w:cs="宋体" w:hint="eastAsia"/>
                <w:sz w:val="22"/>
              </w:rPr>
              <w:t>本标准规定了多米尼克境内由西方蜜蜂和无刺蜂生产的三个等级蜂蜜的要求。其规范内容涵盖从卫生生产、储存、包装，到商业销售所需的强制性检测和标签标注等各个环节。</w:t>
            </w:r>
          </w:p>
        </w:tc>
      </w:tr>
      <w:tr>
        <w:trPr>
          <w:trHeight w:val="850"/>
        </w:trPr>
        <w:tc>
          <w:tcPr>
            <w:tcW w:w="1382" w:type="dxa"/>
            <w:vMerge w:val="restart"/>
            <w:tcBorders>
              <w:tl2br w:val="nil"/>
              <w:tr2bl w:val="nil"/>
            </w:tcBorders>
            <w:vAlign w:val="center"/>
          </w:tcPr>
          <w:p>
            <w:pPr>
              <w:pStyle w:val="291"/>
              <w:jc w:val="center"/>
            </w:pPr>
            <w:r>
              <w:t>厄瓜多尔</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93" w:type="dxa"/>
            <w:vAlign w:val="center"/>
          </w:tcPr>
          <w:p>
            <w:pPr>
              <w:jc w:val="left"/>
              <w:rPr>
                <w:rFonts w:ascii="宋体" w:cs="宋体" w:hint="eastAsia"/>
                <w:sz w:val="22"/>
              </w:rPr>
            </w:pPr>
            <w:r>
              <w:rPr>
                <w:rFonts w:ascii="宋体" w:cs="宋体" w:hint="eastAsia"/>
                <w:sz w:val="22"/>
              </w:rPr>
              <w:t>厄瓜多尔技术法规RTE INEN 029(3R)“护栏用波纹型材和钢柱”第三次修订草案</w:t>
            </w:r>
            <w:r>
              <w:rPr>
                <w:rFonts w:ascii="宋体" w:cs="宋体"/>
                <w:sz w:val="22"/>
              </w:rPr>
              <w:t>。</w:t>
            </w:r>
            <w:r>
              <w:rPr>
                <w:rFonts w:ascii="宋体" w:cs="宋体" w:hint="eastAsia"/>
                <w:sz w:val="22"/>
              </w:rPr>
              <w:t>本厄瓜多尔技术法规适用于在厄瓜多尔境内销售的以下产品，无论其为国产还是进口：波纹型材（护栏栏杆）；护栏端头；过渡段；钢制立柱；分隔器；作为护栏固定件的螺栓和螺母。本厄瓜多尔技术法规不适用于：完整的（组装好的）道路防护系统。</w:t>
            </w:r>
          </w:p>
        </w:tc>
      </w:tr>
      <w:tr>
        <w:trPr>
          <w:trHeight w:val="70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93" w:type="dxa"/>
            <w:vAlign w:val="center"/>
          </w:tcPr>
          <w:p>
            <w:pPr>
              <w:jc w:val="left"/>
              <w:rPr>
                <w:rFonts w:ascii="宋体" w:cs="宋体" w:hint="eastAsia"/>
                <w:sz w:val="22"/>
              </w:rPr>
            </w:pPr>
            <w:r>
              <w:rPr>
                <w:rFonts w:ascii="宋体" w:cs="宋体" w:hint="eastAsia"/>
                <w:sz w:val="22"/>
              </w:rPr>
              <w:t>厄瓜多尔技术法规PRTE INEN 051(3R)“家用高压锅”第三次修订草案</w:t>
            </w:r>
            <w:r>
              <w:rPr>
                <w:rFonts w:ascii="宋体" w:cs="宋体"/>
                <w:sz w:val="22"/>
              </w:rPr>
              <w:t>。</w:t>
            </w:r>
            <w:r>
              <w:rPr>
                <w:rFonts w:ascii="宋体" w:cs="宋体" w:hint="eastAsia"/>
                <w:sz w:val="22"/>
              </w:rPr>
              <w:t>本厄瓜多尔技术法规适用于在厄瓜多尔销售的以下国产或进口产品：家用便携式压力锅，总体积不超过25升，工作压力大于4 kPa且小于150 kPa，具有集成或独立加热系统。</w:t>
            </w:r>
          </w:p>
        </w:tc>
      </w:tr>
      <w:tr>
        <w:trPr>
          <w:trHeight w:val="85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93" w:type="dxa"/>
            <w:vAlign w:val="center"/>
          </w:tcPr>
          <w:p>
            <w:pPr>
              <w:jc w:val="left"/>
              <w:rPr>
                <w:rFonts w:ascii="宋体" w:cs="宋体" w:hint="eastAsia"/>
                <w:sz w:val="22"/>
              </w:rPr>
            </w:pPr>
            <w:r>
              <w:rPr>
                <w:rFonts w:ascii="宋体" w:cs="宋体" w:hint="eastAsia"/>
                <w:sz w:val="22"/>
              </w:rPr>
              <w:t>厄瓜多尔技术法规PRTE INEN 264(1R)“安全、防护和工作鞋”第一次修订草案</w:t>
            </w:r>
            <w:r>
              <w:rPr>
                <w:rFonts w:ascii="宋体" w:cs="宋体"/>
                <w:sz w:val="22"/>
              </w:rPr>
              <w:t>。</w:t>
            </w:r>
            <w:r>
              <w:rPr>
                <w:rFonts w:ascii="宋体" w:cs="宋体" w:hint="eastAsia"/>
                <w:sz w:val="22"/>
              </w:rPr>
              <w:t>本厄瓜多尔技术法规适用于在厄瓜多尔销售的以下产品，无论是国产产品还是进口产品：安全鞋、防护鞋、工作鞋。本厄瓜多尔技术法规不适用于：消防员鞋；电绝缘鞋防止链锯伤害的鞋子化学品和熔融金属飞溅防护鞋；以及摩托车手的防护鞋。</w:t>
            </w:r>
          </w:p>
        </w:tc>
      </w:tr>
      <w:tr>
        <w:trPr>
          <w:trHeight w:val="718"/>
        </w:trPr>
        <w:tc>
          <w:tcPr>
            <w:tcW w:w="1382" w:type="dxa"/>
            <w:tcBorders>
              <w:tl2br w:val="nil"/>
              <w:tr2bl w:val="nil"/>
            </w:tcBorders>
            <w:vAlign w:val="center"/>
          </w:tcPr>
          <w:p>
            <w:pPr>
              <w:pStyle w:val="241"/>
              <w:jc w:val="center"/>
            </w:pPr>
            <w:r>
              <w:t>法国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93" w:type="dxa"/>
            <w:vAlign w:val="center"/>
          </w:tcPr>
          <w:p>
            <w:pPr>
              <w:jc w:val="left"/>
              <w:rPr>
                <w:rFonts w:ascii="宋体" w:cs="宋体" w:hint="eastAsia"/>
                <w:sz w:val="22"/>
              </w:rPr>
            </w:pPr>
            <w:r>
              <w:rPr>
                <w:rFonts w:ascii="宋体" w:cs="宋体"/>
                <w:sz w:val="22"/>
              </w:rPr>
              <w:t>关于安装适用于建筑物或建筑物部分建造的供暖或生活热水生产设备的环境性能要求的法令。该法令草案规定：消除使用燃油混合系统的可能性（对建筑和住房法规-CCH R.171-13的修改-源自2022年1月5日第2022-8号法令）；对于新建筑，禁止安装温室气体排放量超过79克/千瓦时的锅炉，这是电力的监管排放阈值；为应急系统和连接到热网的技术系统规定豁免遵守这一阈值。受特定土地或财产地役权约束的建筑物也可以减损该措施。</w:t>
            </w:r>
          </w:p>
        </w:tc>
      </w:tr>
      <w:tr>
        <w:trPr>
          <w:trHeight w:val="1360"/>
        </w:trPr>
        <w:tc>
          <w:tcPr>
            <w:tcW w:w="1382" w:type="dxa"/>
            <w:vMerge w:val="restart"/>
            <w:tcBorders>
              <w:tl2br w:val="nil"/>
              <w:tr2bl w:val="nil"/>
            </w:tcBorders>
            <w:vAlign w:val="center"/>
          </w:tcPr>
          <w:p>
            <w:pPr>
              <w:pStyle w:val="294"/>
              <w:jc w:val="center"/>
            </w:pPr>
            <w:r>
              <w:t>吉尔吉斯斯坦</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93" w:type="dxa"/>
            <w:vAlign w:val="center"/>
          </w:tcPr>
          <w:p>
            <w:pPr>
              <w:pStyle w:val="107"/>
              <w:jc w:val="left"/>
              <w:rPr>
                <w:rFonts w:ascii="宋体" w:cs="宋体" w:hint="eastAsia"/>
                <w:sz w:val="22"/>
              </w:rPr>
            </w:pPr>
            <w:r>
              <w:rPr>
                <w:rFonts w:ascii="宋体" w:cs="宋体"/>
                <w:sz w:val="22"/>
              </w:rPr>
              <w:t>欧亚经济委员会理事会修正欧亚经济委员会理事会某些决定的决定草案。该决定草案规定如下：过渡期延长至2036年12月31日，以便根据欧亚经济联盟成员国立法规定的程序，延长兽医用诊断、消毒剂、除虫和除螨制剂在欧亚经济联盟境内的流通期；《监管兽医用诊断制剂在EAEU关税区流通的规则》的生效日期和《监管兽医用消毒剂、杀虫和去螨制剂在EAEU关税区流通的规则》的生效日期同步并推迟至2031年9月1日。</w:t>
            </w:r>
          </w:p>
        </w:tc>
      </w:tr>
      <w:tr>
        <w:trPr>
          <w:trHeight w:val="65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93" w:type="dxa"/>
            <w:vAlign w:val="center"/>
          </w:tcPr>
          <w:p>
            <w:pPr>
              <w:jc w:val="left"/>
              <w:rPr>
                <w:rFonts w:ascii="宋体" w:cs="宋体" w:hint="eastAsia"/>
                <w:sz w:val="22"/>
              </w:rPr>
            </w:pPr>
            <w:r>
              <w:rPr>
                <w:rFonts w:ascii="宋体" w:cs="宋体"/>
                <w:sz w:val="22"/>
              </w:rPr>
              <w:t>关税同盟“超压运行设备安全”技术法规修正案草案。澄清技术法规中关于限制通过焊管（壳）端部成形制造钢瓶的可能性的某些规定。</w:t>
            </w:r>
          </w:p>
        </w:tc>
      </w:tr>
      <w:tr>
        <w:trPr>
          <w:trHeight w:val="1559"/>
        </w:trPr>
        <w:tc>
          <w:tcPr>
            <w:tcW w:w="1382" w:type="dxa"/>
            <w:vMerge w:val="restart"/>
            <w:tcBorders>
              <w:tl2br w:val="nil"/>
              <w:tr2bl w:val="nil"/>
            </w:tcBorders>
            <w:vAlign w:val="center"/>
          </w:tcPr>
          <w:p>
            <w:pPr>
              <w:pStyle w:val="296"/>
              <w:jc w:val="center"/>
              <w:textAlignment w:val="center"/>
            </w:pPr>
            <w:r>
              <w:t>加拿大</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93" w:type="dxa"/>
            <w:vAlign w:val="center"/>
          </w:tcPr>
          <w:p>
            <w:pPr>
              <w:jc w:val="left"/>
              <w:rPr>
                <w:rFonts w:ascii="宋体" w:cs="宋体"/>
                <w:sz w:val="22"/>
              </w:rPr>
            </w:pPr>
            <w:r>
              <w:rPr>
                <w:rFonts w:ascii="宋体" w:cs="宋体"/>
                <w:sz w:val="22"/>
              </w:rPr>
              <w:t>修订与协调强化饲料禁令有关的某些条例的条例。加拿大食品检验局正在提议对各种法规进行修订，为加拿大的强化饲料禁令（EFB）引入有针对性的灵活性。加拿大的EFB法规是近20年前制定的，并没有反映当前的流行病学情况和该国可忽略不计的牛海绵状脑病(BSE)风险状况，正如世界动物卫生组织(自2021年以来所承认的那样。拟议的修正案将允许定义为合格特定风险材料的较低风险特定风险材料（SRM）的子集在规定条件下用于非反刍动物饲料、肥料和宠物食品。所有SRM将继续禁止在食品和反刍动物饲料中使用，以确保加拿大食品供应的安全和完整性。</w:t>
            </w:r>
          </w:p>
        </w:tc>
      </w:tr>
      <w:tr>
        <w:trPr>
          <w:trHeight w:val="10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93" w:type="dxa"/>
            <w:vAlign w:val="center"/>
          </w:tcPr>
          <w:p>
            <w:pPr>
              <w:jc w:val="left"/>
              <w:rPr>
                <w:rFonts w:ascii="宋体" w:cs="宋体"/>
                <w:sz w:val="22"/>
              </w:rPr>
            </w:pPr>
            <w:r>
              <w:rPr>
                <w:rFonts w:ascii="宋体" w:cs="宋体"/>
                <w:sz w:val="22"/>
              </w:rPr>
              <w:t>关于RSS-193的咨询，第2期。加拿大创新、科学和经济发展部特此通知修订了以下标准：RSS-193，第2期，工作在24.25-28.35 GHz和37.6-40.0 GHz频段的灵活使用宽带设备，规定了工作在24.25-28.35 GHz和37.6-40.0 GHz频段的固定和/或移动服务中的灵活使用宽带设备的认证要求。</w:t>
            </w:r>
          </w:p>
        </w:tc>
      </w:tr>
      <w:tr>
        <w:trPr>
          <w:trHeight w:val="1549"/>
        </w:trPr>
        <w:tc>
          <w:tcPr>
            <w:tcW w:w="1382" w:type="dxa"/>
            <w:vMerge w:val="restart"/>
            <w:tcBorders>
              <w:tl2br w:val="nil"/>
              <w:tr2bl w:val="nil"/>
            </w:tcBorders>
            <w:vAlign w:val="center"/>
          </w:tcPr>
          <w:p>
            <w:pPr>
              <w:pStyle w:val="297"/>
              <w:jc w:val="center"/>
              <w:textAlignment w:val="center"/>
            </w:pPr>
            <w:r>
              <w:t>肯尼亚</w:t>
            </w:r>
          </w:p>
        </w:tc>
        <w:tc>
          <w:tcPr>
            <w:tcW w:w="596" w:type="dxa"/>
            <w:tcBorders>
              <w:top w:val="single" w:sz="4" w:space="0" w:color="000000"/>
              <w:left w:val="single" w:sz="4" w:space="0" w:color="000000"/>
              <w:right w:val="single" w:sz="4" w:space="0" w:color="000000"/>
            </w:tcBorders>
            <w:vAlign w:val="center"/>
          </w:tcPr>
          <w:p>
            <w:pPr>
              <w:pStyle w:val="109"/>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93" w:type="dxa"/>
            <w:vAlign w:val="center"/>
          </w:tcPr>
          <w:p>
            <w:pPr>
              <w:jc w:val="left"/>
              <w:rPr>
                <w:rFonts w:ascii="宋体" w:cs="宋体" w:hint="eastAsia"/>
                <w:sz w:val="22"/>
              </w:rPr>
            </w:pPr>
            <w:r>
              <w:rPr>
                <w:rFonts w:ascii="宋体" w:cs="宋体"/>
                <w:sz w:val="22"/>
              </w:rPr>
              <w:t>2026年《标准（实验室测试和指定）条例》。《2026年标准（实验室测试与指定）条例》依据《标准法》（第496章）建立了一个法律框架，用于规范肯尼亚标准局（KEBS）对测试实验室的指定、监督和运营。该条例规定将KEBS实验室设立为国家参考实验室，规定了外部实验室的指定要求和程序，并设定了指定实验室的义务，包括认可、能力验证、质量控制和报告等。该条例还进一步规定了样品处理程序、测试实施、测试证书的签发与审核、年度评估、指定资格的暂停或撤销、上诉程序，以及适用于实验室指定和评估服务的收费标准。</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0"/>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93" w:type="dxa"/>
            <w:vAlign w:val="center"/>
          </w:tcPr>
          <w:p>
            <w:pPr>
              <w:jc w:val="left"/>
              <w:rPr>
                <w:rFonts w:ascii="宋体" w:cs="宋体" w:hint="eastAsia"/>
                <w:sz w:val="22"/>
              </w:rPr>
            </w:pPr>
            <w:r>
              <w:rPr>
                <w:rFonts w:ascii="宋体" w:cs="宋体"/>
                <w:sz w:val="22"/>
              </w:rPr>
              <w:t>2026年标准（科学和工业计量）条例。《2026年标准（科学和工业计量）条例》确立了肯尼亚在科学和工业测量、校准及计量服务方面的框架。该条例指定肯尼亚标准局（KEBS）为国家计量院，规定对校准服务提供者进行许可管理，并要求对指定的医疗、工业、环境和实验室设备进行强制性校准，以确保测量准确、可靠且具有国际溯源性。</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1"/>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93" w:type="dxa"/>
            <w:vAlign w:val="center"/>
          </w:tcPr>
          <w:p>
            <w:pPr>
              <w:pStyle w:val="210"/>
              <w:jc w:val="left"/>
              <w:rPr>
                <w:rFonts w:ascii="宋体" w:cs="宋体" w:hint="eastAsia"/>
                <w:sz w:val="22"/>
              </w:rPr>
            </w:pPr>
            <w:r>
              <w:rPr>
                <w:rFonts w:ascii="宋体" w:cs="宋体"/>
                <w:sz w:val="22"/>
              </w:rPr>
              <w:t>2026年《标准（产品认证）条例》。《2026年标准（产品认证）条例》为肯尼亚产品认证标志的管理和使用提供了监管框架，包括标准化标志和质量钻石标志。该条例规定了申请资格要求、申请程序、评估流程、许可的颁发与续期、监督管控措施、许可持有人的义务、执法行动、违法行为以及适用费用。该条例还建立了检验、测试、合格评定和认证产品登记册维护等机制，以确保符合强制性标准和经批准的技术规范。</w:t>
            </w:r>
          </w:p>
        </w:tc>
      </w:tr>
      <w:tr>
        <w:trPr>
          <w:trHeight w:val="62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2"/>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93" w:type="dxa"/>
            <w:vAlign w:val="center"/>
          </w:tcPr>
          <w:p>
            <w:pPr>
              <w:pStyle w:val="211"/>
              <w:jc w:val="left"/>
              <w:rPr>
                <w:rFonts w:ascii="宋体" w:cs="宋体" w:hint="eastAsia"/>
                <w:sz w:val="22"/>
              </w:rPr>
            </w:pPr>
            <w:r>
              <w:rPr>
                <w:rFonts w:ascii="宋体" w:cs="宋体"/>
                <w:sz w:val="22"/>
              </w:rPr>
              <w:t>KS 2263：2026月桂叶质量标准（修正案1：表3修正案重金属污染物限量）。修订1：修订表3-重金属污染物限值。在表格中增加了重金属一栏。</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3"/>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93" w:type="dxa"/>
            <w:vAlign w:val="center"/>
          </w:tcPr>
          <w:p>
            <w:pPr>
              <w:pStyle w:val="213"/>
              <w:jc w:val="left"/>
              <w:rPr>
                <w:rFonts w:ascii="宋体" w:cs="宋体" w:hint="eastAsia"/>
                <w:sz w:val="22"/>
              </w:rPr>
            </w:pPr>
            <w:r>
              <w:rPr>
                <w:rFonts w:ascii="宋体" w:cs="宋体"/>
                <w:sz w:val="22"/>
              </w:rPr>
              <w:t>DKS 3054：2026液化石油气(LPG)钢瓶储存、处理和运输要求。本肯尼亚标准草案规定了适用于商业用途的液化石油气钢瓶的安全储存、处理和公路运输的构造、标记、装卸、培训和安全措施的要求。本肯尼亚标准草案也可能适用于小型船只上液化石油气钢瓶的安全运输。</w:t>
            </w:r>
          </w:p>
        </w:tc>
      </w:tr>
      <w:tr>
        <w:trPr>
          <w:trHeight w:val="75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4"/>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93" w:type="dxa"/>
            <w:vAlign w:val="center"/>
          </w:tcPr>
          <w:p>
            <w:pPr>
              <w:pStyle w:val="215"/>
              <w:jc w:val="left"/>
              <w:rPr>
                <w:rFonts w:ascii="宋体" w:cs="宋体" w:hint="eastAsia"/>
                <w:sz w:val="22"/>
              </w:rPr>
            </w:pPr>
            <w:r>
              <w:rPr>
                <w:rFonts w:ascii="宋体" w:cs="宋体"/>
                <w:sz w:val="22"/>
              </w:rPr>
              <w:t>DKS 2571：2026食品强化预混料和强化剂肯尼亚进口、本地制造和分销的要求。本肯尼亚标准草案规定了食品强化预混料和强化剂的进口商、当地制造商和经销商的注册和监管要求，用于国家食品强化计划。</w:t>
            </w:r>
          </w:p>
        </w:tc>
      </w:tr>
      <w:tr>
        <w:trPr>
          <w:trHeight w:val="701"/>
        </w:trPr>
        <w:tc>
          <w:tcPr>
            <w:tcW w:w="1382" w:type="dxa"/>
            <w:tcBorders>
              <w:tl2br w:val="nil"/>
              <w:tr2bl w:val="nil"/>
            </w:tcBorders>
            <w:vAlign w:val="center"/>
          </w:tcPr>
          <w:p>
            <w:pPr>
              <w:pStyle w:val="269"/>
              <w:jc w:val="center"/>
            </w:pPr>
            <w:r>
              <w:t>立陶宛</w:t>
            </w:r>
          </w:p>
        </w:tc>
        <w:tc>
          <w:tcPr>
            <w:tcW w:w="596" w:type="dxa"/>
            <w:tcBorders>
              <w:top w:val="single" w:sz="4" w:space="0" w:color="000000"/>
              <w:left w:val="single" w:sz="4" w:space="0" w:color="000000"/>
              <w:right w:val="single" w:sz="4" w:space="0" w:color="000000"/>
            </w:tcBorders>
            <w:vAlign w:val="center"/>
          </w:tcPr>
          <w:p>
            <w:pPr>
              <w:pStyle w:val="115"/>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93" w:type="dxa"/>
            <w:vAlign w:val="center"/>
          </w:tcPr>
          <w:p>
            <w:pPr>
              <w:pStyle w:val="89"/>
              <w:jc w:val="left"/>
              <w:rPr>
                <w:rFonts w:ascii="宋体" w:cs="宋体"/>
                <w:sz w:val="22"/>
              </w:rPr>
            </w:pPr>
            <w:r>
              <w:rPr>
                <w:rFonts w:ascii="宋体" w:cs="宋体"/>
                <w:sz w:val="22"/>
              </w:rPr>
              <w:t>法律草案。该法律草案的目的是禁止向18岁以下的人销售、代表或以其他方式转让名称包含立陶宛共和国政府授权的机构根据《立陶宛共和国酒精管制法》或直接适用的欧盟立法设立的酒精饮料组、子组和或类别的非酒精饮料</w:t>
            </w:r>
          </w:p>
        </w:tc>
      </w:tr>
      <w:tr>
        <w:trPr>
          <w:trHeight w:val="602"/>
        </w:trPr>
        <w:tc>
          <w:tcPr>
            <w:tcW w:w="1382" w:type="dxa"/>
            <w:tcBorders>
              <w:tl2br w:val="nil"/>
              <w:tr2bl w:val="nil"/>
            </w:tcBorders>
            <w:vAlign w:val="center"/>
          </w:tcPr>
          <w:p>
            <w:pPr>
              <w:pStyle w:val="269"/>
              <w:jc w:val="center"/>
            </w:pPr>
            <w:r>
              <w:t>卢旺达</w:t>
            </w:r>
          </w:p>
        </w:tc>
        <w:tc>
          <w:tcPr>
            <w:tcW w:w="596" w:type="dxa"/>
            <w:tcBorders>
              <w:top w:val="single" w:sz="4" w:space="0" w:color="000000"/>
              <w:left w:val="single" w:sz="4" w:space="0" w:color="000000"/>
              <w:right w:val="single" w:sz="4" w:space="0" w:color="000000"/>
            </w:tcBorders>
            <w:vAlign w:val="center"/>
          </w:tcPr>
          <w:p>
            <w:pPr>
              <w:pStyle w:val="116"/>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93" w:type="dxa"/>
            <w:vAlign w:val="center"/>
          </w:tcPr>
          <w:p>
            <w:pPr>
              <w:jc w:val="left"/>
              <w:rPr>
                <w:rFonts w:ascii="宋体" w:cs="宋体"/>
                <w:sz w:val="22"/>
              </w:rPr>
            </w:pPr>
            <w:r>
              <w:rPr>
                <w:rFonts w:ascii="宋体" w:cs="宋体"/>
                <w:sz w:val="22"/>
              </w:rPr>
              <w:t>DRS 607-1:20 25，车辆和行人区域的沟渠顶部和人孔顶部规范第1部分：分类、一般设计和性能要求。该卢旺达标准草案规定了在受控环境（设施）（如半自养水培（SAH）实验室、SAH筛选室和筛选室设施）下生长的基础前木薯组织培养衍生幼苗的认证要求。它涵盖了合格品种的要求、它们在受控环境中的繁殖、认证申请、检验、标签和运输包装。</w:t>
            </w:r>
          </w:p>
        </w:tc>
      </w:tr>
      <w:tr>
        <w:trPr>
          <w:trHeight w:val="1025"/>
        </w:trPr>
        <w:tc>
          <w:tcPr>
            <w:tcW w:w="1382" w:type="dxa"/>
            <w:tcBorders>
              <w:tl2br w:val="nil"/>
              <w:tr2bl w:val="nil"/>
            </w:tcBorders>
            <w:vAlign w:val="center"/>
          </w:tcPr>
          <w:p>
            <w:pPr>
              <w:pStyle w:val="269"/>
              <w:jc w:val="center"/>
            </w:pPr>
            <w:r>
              <w:t>秘鲁</w:t>
            </w:r>
          </w:p>
        </w:tc>
        <w:tc>
          <w:tcPr>
            <w:tcW w:w="596" w:type="dxa"/>
            <w:tcBorders>
              <w:top w:val="single" w:sz="4" w:space="0" w:color="000000"/>
              <w:left w:val="single" w:sz="4" w:space="0" w:color="000000"/>
              <w:right w:val="single" w:sz="4" w:space="0" w:color="000000"/>
            </w:tcBorders>
            <w:vAlign w:val="center"/>
          </w:tcPr>
          <w:p>
            <w:pPr>
              <w:pStyle w:val="117"/>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93" w:type="dxa"/>
            <w:vAlign w:val="center"/>
          </w:tcPr>
          <w:p>
            <w:pPr>
              <w:pStyle w:val="168"/>
              <w:jc w:val="left"/>
              <w:rPr>
                <w:rFonts w:ascii="宋体" w:cs="宋体"/>
                <w:sz w:val="22"/>
              </w:rPr>
            </w:pPr>
            <w:r>
              <w:rPr>
                <w:rFonts w:ascii="宋体" w:cs="宋体"/>
                <w:sz w:val="22"/>
              </w:rPr>
              <w:t>人类饮用水质量条例草案。该法规草案旨在根据第26842号法律《通用卫生法》的规定，制定规范饮用水质量管理的相关条款，包括：规定饮用水质量要求；对用于人口供水范围内饮用水处理的消毒剂及其他投入品进行授权和卫生注册；批准与饮用水供应系统相关的技术文件；以及对饮用水质量实施卫生监督和检查。</w:t>
            </w:r>
          </w:p>
        </w:tc>
      </w:tr>
      <w:tr>
        <w:trPr>
          <w:trHeight w:val="536"/>
        </w:trPr>
        <w:tc>
          <w:tcPr>
            <w:tcW w:w="1382" w:type="dxa"/>
            <w:vMerge w:val="restart"/>
            <w:tcBorders>
              <w:tl2br w:val="nil"/>
              <w:tr2bl w:val="nil"/>
            </w:tcBorders>
            <w:vAlign w:val="center"/>
          </w:tcPr>
          <w:p>
            <w:pPr>
              <w:pStyle w:val="298"/>
              <w:jc w:val="center"/>
            </w:pPr>
            <w:r>
              <w:t>南非</w:t>
            </w:r>
          </w:p>
        </w:tc>
        <w:tc>
          <w:tcPr>
            <w:tcW w:w="596" w:type="dxa"/>
            <w:tcBorders>
              <w:top w:val="single" w:sz="4" w:space="0" w:color="000000"/>
              <w:left w:val="single" w:sz="4" w:space="0" w:color="000000"/>
              <w:right w:val="single" w:sz="4" w:space="0" w:color="000000"/>
            </w:tcBorders>
            <w:vAlign w:val="center"/>
          </w:tcPr>
          <w:p>
            <w:pPr>
              <w:pStyle w:val="118"/>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93" w:type="dxa"/>
            <w:vAlign w:val="center"/>
          </w:tcPr>
          <w:p>
            <w:pPr>
              <w:pStyle w:val="92"/>
              <w:jc w:val="left"/>
              <w:rPr>
                <w:rFonts w:ascii="宋体" w:cs="宋体"/>
                <w:sz w:val="22"/>
              </w:rPr>
            </w:pPr>
            <w:r>
              <w:rPr>
                <w:rFonts w:ascii="宋体" w:cs="宋体"/>
                <w:sz w:val="22"/>
              </w:rPr>
              <w:t>M1类机动车强制性规范拟议修正案。本规范适用于以下M1类机动车的要求：此前未在南非注册或领牌的机动车，以及由新车身和早期车型设计的旧零件组装而成的机动车，且此类车辆均设计或改装用于公共道路行驶。</w:t>
            </w:r>
          </w:p>
        </w:tc>
      </w:tr>
      <w:tr>
        <w:trPr>
          <w:trHeight w:val="68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9"/>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93" w:type="dxa"/>
            <w:vAlign w:val="center"/>
          </w:tcPr>
          <w:p>
            <w:pPr>
              <w:jc w:val="left"/>
              <w:rPr>
                <w:rFonts w:ascii="宋体" w:cs="宋体"/>
                <w:sz w:val="22"/>
              </w:rPr>
            </w:pPr>
            <w:r>
              <w:rPr>
                <w:rFonts w:ascii="宋体" w:cs="宋体"/>
                <w:sz w:val="22"/>
              </w:rPr>
              <w:t>N1类机动车强制性规范拟议修正案。本规范适用于以下N1类机动车的要求：此前未在南非注册或领牌的机动车，以及由新车身和早期车型设计的旧零件组装而成的机动车，且此类车辆均设计或改装用于公共道路行驶。</w:t>
            </w:r>
          </w:p>
        </w:tc>
      </w:tr>
      <w:tr>
        <w:trPr>
          <w:trHeight w:val="1861"/>
        </w:trPr>
        <w:tc>
          <w:tcPr>
            <w:tcW w:w="1382" w:type="dxa"/>
            <w:vMerge w:val="restart"/>
            <w:tcBorders>
              <w:tl2br w:val="nil"/>
              <w:tr2bl w:val="nil"/>
            </w:tcBorders>
            <w:vAlign w:val="center"/>
          </w:tcPr>
          <w:p>
            <w:pPr>
              <w:pStyle w:val="300"/>
              <w:jc w:val="center"/>
              <w:textAlignment w:val="center"/>
            </w:pPr>
            <w:r>
              <w:t>欧盟</w:t>
            </w:r>
          </w:p>
        </w:tc>
        <w:tc>
          <w:tcPr>
            <w:tcW w:w="596" w:type="dxa"/>
            <w:tcBorders>
              <w:top w:val="single" w:sz="4" w:space="0" w:color="000000"/>
              <w:left w:val="single" w:sz="4" w:space="0" w:color="000000"/>
              <w:right w:val="single" w:sz="4" w:space="0" w:color="000000"/>
            </w:tcBorders>
            <w:vAlign w:val="center"/>
          </w:tcPr>
          <w:p>
            <w:pPr>
              <w:pStyle w:val="120"/>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93" w:type="dxa"/>
            <w:vAlign w:val="center"/>
          </w:tcPr>
          <w:p>
            <w:pPr>
              <w:pStyle w:val="62"/>
              <w:jc w:val="left"/>
              <w:rPr>
                <w:rFonts w:ascii="宋体" w:cs="宋体"/>
                <w:sz w:val="22"/>
              </w:rPr>
            </w:pPr>
            <w:r>
              <w:rPr>
                <w:rFonts w:ascii="宋体" w:cs="宋体"/>
                <w:sz w:val="22"/>
              </w:rPr>
              <w:t>委员会实施条例草案，关于依照欧洲议会和理事会（EC）第1107/2009号法规不续展活性物质噻嗪酮的批准，并修订委员会实施条例（EU）第540/2011号。该委员会实施条例草案规定，根据（EC）第1107/2009号法规，不再续展活性物质噻嗪酮的批准。欧盟成员国应撤销含有噻嗪酮作为活性物质的植物保护产品的授权。不予续展的依据是根据（EC）第1107/2009号法规对该物质作为农药活性物质在欧盟使用的首次评估。该物质先前曾根据第91/414/EEC号指令进行评估和批准。该决定仅涉及该物质及含有该物质的植物保护产品的市场投放。在不批准之后，且含有该物质的产品库存的所有宽限期届满后，可能会就最大残留限量（MRLs）采取单独行动，并将根据SPS程序另行通知。</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1"/>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93" w:type="dxa"/>
            <w:vAlign w:val="center"/>
          </w:tcPr>
          <w:p>
            <w:pPr>
              <w:pStyle w:val="63"/>
              <w:jc w:val="left"/>
              <w:rPr>
                <w:rFonts w:ascii="宋体" w:cs="宋体"/>
                <w:sz w:val="22"/>
              </w:rPr>
            </w:pPr>
            <w:r>
              <w:rPr>
                <w:rFonts w:ascii="宋体" w:cs="宋体"/>
                <w:sz w:val="22"/>
              </w:rPr>
              <w:t>根据欧洲议会和理事会第528/2012号(EU)法规，关于不批准1,3-双（羟甲基）-5,5-二甲基咪唑烷-2,4-二酮作为现有活性物质用于产品类型6和13的杀生物产品的委员会执行决定草案。本委员会执行决定草案不批准1,3-双（羟甲基）-5,5-二甲基咪唑烷-2,4-二酮作为现有活性物质用于产品类型6和13的杀生物产品。这种活性物质不能被批准，因为没有证明对任何用途有足够的功效。此外，就环境而言，无法确定安全用途。因此，在做出不批准决定180天后，用该活性物质处理或掺入该活性物质的制品不得在欧盟上市。</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2"/>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93" w:type="dxa"/>
            <w:vAlign w:val="center"/>
          </w:tcPr>
          <w:p>
            <w:pPr>
              <w:jc w:val="left"/>
              <w:rPr>
                <w:rFonts w:ascii="宋体" w:cs="宋体"/>
                <w:sz w:val="22"/>
              </w:rPr>
            </w:pPr>
            <w:r>
              <w:rPr>
                <w:rFonts w:ascii="宋体" w:cs="宋体"/>
                <w:sz w:val="22"/>
              </w:rPr>
              <w:t>委员会执行决定草案(EU)废除执行决定(EU)2026/1089，根据欧洲议会和理事会第528/2012号(EU)条例，推迟美托咪定用于产品类型21的生物杀灭产品的批准到期日期。本委员会实施决定草案废除了美托咪定用于产品类型（PT）21的生物杀灭产品的批准有效期的推迟。2021年6月27日，根据(EU)第528/2012号法规第13（1）条提交了一份申请，以更新美托咪定用于产品类型21的杀生物产品的批准。2024年5月28日，考虑到评估主管当局的结论，管理局通过了其关于PT21美托咪定的意见。</w:t>
            </w:r>
          </w:p>
        </w:tc>
      </w:tr>
      <w:tr>
        <w:trPr>
          <w:trHeight w:val="92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3"/>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93" w:type="dxa"/>
            <w:vAlign w:val="center"/>
          </w:tcPr>
          <w:p>
            <w:pPr>
              <w:jc w:val="left"/>
              <w:rPr>
                <w:rFonts w:ascii="宋体" w:cs="宋体"/>
                <w:sz w:val="22"/>
              </w:rPr>
            </w:pPr>
            <w:r>
              <w:rPr>
                <w:rFonts w:ascii="宋体" w:cs="宋体"/>
                <w:sz w:val="22"/>
              </w:rPr>
              <w:t>根据欧洲议会和理事会第528/2012号(EU)法规，(EU)不延长美托咪定作为活性物质用于产品类型21的生物杀灭产品的批准。 本委员会实施决定草案未延长美托咪定作为活性物质用于产品类型21的杀生物产品的批准。根据(EU)委员会授权法规2017/2100[1]中规定的标准，美托咪定具有内分泌干扰特性，可能对人类产生不良影响。</w:t>
            </w:r>
          </w:p>
        </w:tc>
      </w:tr>
      <w:tr>
        <w:trPr>
          <w:trHeight w:val="1237"/>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4"/>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93" w:type="dxa"/>
            <w:vAlign w:val="center"/>
          </w:tcPr>
          <w:p>
            <w:pPr>
              <w:jc w:val="left"/>
              <w:rPr>
                <w:rFonts w:ascii="宋体" w:cs="宋体"/>
                <w:sz w:val="22"/>
              </w:rPr>
            </w:pPr>
            <w:r>
              <w:rPr>
                <w:rFonts w:ascii="宋体" w:cs="宋体"/>
                <w:sz w:val="22"/>
              </w:rPr>
              <w:t>欧盟委员会授权指令草案，关于修订欧洲议会和理事会第2011/65/EU号指令附件III和附件IV中有关特定电气和电子设备内铅和镉的豁免条款。本欧盟委员会授权指令草案涉及针对RoHS 2指令（第2011/65/EU号指令）物质限制的特定和临时豁免申请。批准续期的标准基本上得到满足，因此建议对第2011/65/EU号指令附件III和附件IV中的部分豁免条款进行续期和修订。</w:t>
            </w:r>
          </w:p>
        </w:tc>
      </w:tr>
      <w:tr>
        <w:trPr>
          <w:trHeight w:val="70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5"/>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93" w:type="dxa"/>
            <w:vAlign w:val="center"/>
          </w:tcPr>
          <w:p>
            <w:pPr>
              <w:jc w:val="left"/>
              <w:rPr>
                <w:rFonts w:ascii="宋体" w:cs="宋体"/>
                <w:sz w:val="22"/>
              </w:rPr>
            </w:pPr>
            <w:r>
              <w:rPr>
                <w:rFonts w:ascii="宋体" w:cs="宋体"/>
                <w:sz w:val="22"/>
              </w:rPr>
              <w:t>欧盟委员会授权法规（EU），通过为产品系列和类别建立适用的评估与验证体系，对欧洲议会和理事会（EU）2024/3110号法规进行补充。各产品系列或产品类别所适用的评估与验证体系。</w:t>
            </w:r>
          </w:p>
        </w:tc>
      </w:tr>
      <w:tr>
        <w:trPr>
          <w:trHeight w:val="154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6"/>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93" w:type="dxa"/>
            <w:vAlign w:val="center"/>
          </w:tcPr>
          <w:p>
            <w:pPr>
              <w:jc w:val="left"/>
              <w:rPr>
                <w:rFonts w:ascii="宋体" w:cs="宋体"/>
                <w:sz w:val="22"/>
              </w:rPr>
            </w:pPr>
            <w:r>
              <w:rPr>
                <w:rFonts w:ascii="宋体" w:cs="宋体"/>
                <w:sz w:val="22"/>
              </w:rPr>
              <w:t xml:space="preserve">关于修订欧盟肥料产品法规（EU）2019/1009以添加某些衍生制品作为组分材料的委员会授权条例草案。（EU）2019/1009号条例附件二第二部分“组分材料类别10”列出了可用于欧盟肥料产品的动物副产品衍生制品。所通报的法案拟在该组分材料类别中增加额外的衍生制品，这些制品已在委员会授权条例（EU）2023/1605中确定了生产链的终点。技术评估认为，在满足所通报法案所规定要求的前提下，这些衍生制品用于欧盟肥料产品时是安全的且具有农艺有效性。同时，附件三第一部分也作了修订，以规定含有某些衍生制品的欧盟肥料产品的具体标签要求。 </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7"/>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93" w:type="dxa"/>
            <w:vAlign w:val="center"/>
          </w:tcPr>
          <w:p>
            <w:pPr>
              <w:jc w:val="left"/>
              <w:rPr>
                <w:rFonts w:ascii="宋体" w:cs="宋体"/>
                <w:sz w:val="22"/>
              </w:rPr>
            </w:pPr>
            <w:r>
              <w:rPr>
                <w:rFonts w:ascii="宋体" w:cs="宋体"/>
                <w:sz w:val="22"/>
              </w:rPr>
              <w:t>欧盟委员会授权条例（EU）关于通过规定某些产品火灾反应性能免测试分类条件以补充欧洲议会和理事会（EU）2024/3110号条例。依据（EU）2024/3110号条例第5条第6款，委员会正在对该条例进行补充，规定在何种条件下，产品无需测试即被视为满足某一等级、阈值水平或符合某一性能等级。</w:t>
            </w:r>
          </w:p>
        </w:tc>
      </w:tr>
      <w:tr>
        <w:trPr>
          <w:trHeight w:val="186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8"/>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93" w:type="dxa"/>
            <w:vAlign w:val="center"/>
          </w:tcPr>
          <w:p>
            <w:pPr>
              <w:jc w:val="left"/>
              <w:rPr>
                <w:rFonts w:ascii="宋体" w:cs="宋体"/>
                <w:sz w:val="22"/>
              </w:rPr>
            </w:pPr>
            <w:r>
              <w:rPr>
                <w:rFonts w:ascii="宋体" w:cs="宋体"/>
                <w:sz w:val="22"/>
              </w:rPr>
              <w:t>委员会实施条例草案关于授权月桂叶精油作为某些动物物种的饲料添加剂。该法案草案涉及在欧盟饲料添加剂立法范围内授权来自月桂植物的精油作为“调味化合物”。该措施旨在授权该添加剂用于育肥火鸡、育肥鸡和育肥小型家禽、育肥猪、育肥小型猪科育肥猪、育肥牛、育肥其他反刍动物、育肥骆驼科、育肥野兔科、鲑鱼和小型有鳍鱼（育雏鱼除外）、狗、猫，并由于申请人撤回了重新授权申请，撤回将该添加剂投放市场用于其余动物。该措施是(EC)1831/2003号条例第10条规定的关于“现有产品”状态的制度所要求的。为相关方规定了过渡期，以准备满足相关产品的新授权和退出市场的要求。</w:t>
            </w:r>
          </w:p>
        </w:tc>
      </w:tr>
      <w:tr>
        <w:trPr>
          <w:trHeight w:val="120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9"/>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93" w:type="dxa"/>
            <w:vAlign w:val="center"/>
          </w:tcPr>
          <w:p>
            <w:pPr>
              <w:jc w:val="left"/>
              <w:rPr>
                <w:rFonts w:ascii="宋体" w:cs="宋体"/>
                <w:sz w:val="22"/>
              </w:rPr>
            </w:pPr>
            <w:r>
              <w:rPr>
                <w:rFonts w:ascii="宋体" w:cs="宋体"/>
                <w:sz w:val="22"/>
              </w:rPr>
              <w:t>委员会授权条例(EU)2026/908修订了授权条例(EU)2021/630，涉及在边境管制站免除官方管制的复合产品的私人认证要求，以及将某些谷物产品、预制或腌制蔬菜、水果、坚果、酱料、调味品、调味料和糖果纳入复合产品豁免清单。根据关于农业食物链官方管制的(EU)2017/625号条例，委员会可通过授权法案，免除第47（1）条所述某些类别的动物和货物在边境管制站的官方管制。委员会授权条例(EU)2021/630免除某些复合产品在边境管制站的官方管制。该条例的目的是扩大在边境管制站免于官方管制的耐储存复合材料产品的清单。</w:t>
            </w:r>
          </w:p>
        </w:tc>
      </w:tr>
      <w:tr>
        <w:trPr>
          <w:trHeight w:val="265"/>
        </w:trPr>
        <w:tc>
          <w:tcPr>
            <w:tcW w:w="1382" w:type="dxa"/>
            <w:tcBorders>
              <w:tl2br w:val="nil"/>
              <w:tr2bl w:val="nil"/>
            </w:tcBorders>
            <w:vAlign w:val="center"/>
          </w:tcPr>
          <w:p>
            <w:pPr>
              <w:pStyle w:val="246"/>
              <w:jc w:val="center"/>
              <w:textAlignment w:val="center"/>
            </w:pPr>
            <w:r>
              <w:t>日本</w:t>
            </w:r>
          </w:p>
        </w:tc>
        <w:tc>
          <w:tcPr>
            <w:tcW w:w="596" w:type="dxa"/>
            <w:tcBorders>
              <w:top w:val="single" w:sz="4" w:space="0" w:color="000000"/>
              <w:left w:val="single" w:sz="4" w:space="0" w:color="000000"/>
              <w:right w:val="single" w:sz="4" w:space="0" w:color="000000"/>
            </w:tcBorders>
            <w:vAlign w:val="center"/>
          </w:tcPr>
          <w:p>
            <w:pPr>
              <w:pStyle w:val="130"/>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93" w:type="dxa"/>
            <w:vAlign w:val="center"/>
          </w:tcPr>
          <w:p>
            <w:pPr>
              <w:jc w:val="left"/>
              <w:rPr>
                <w:rFonts w:ascii="宋体" w:cs="宋体"/>
                <w:sz w:val="22"/>
              </w:rPr>
            </w:pPr>
            <w:r>
              <w:rPr>
                <w:rFonts w:ascii="宋体" w:cs="宋体"/>
                <w:sz w:val="22"/>
              </w:rPr>
              <w:t>基于食品标签法的食品标签标准部分修订大纲。具有营养功能的食品是指面向希望补充营养素的人群、并标示了该类营养素功能声称的食品。适用的营养素共20种（1种脂肪酸、6种矿物质和13种维生素）。基于《日本膳食参考摄入量（2025年版）》及其他相关参考文献，将对营养功能声称的表述、食用注意事项以及营养素含量的最低和最高限量进行修订。</w:t>
            </w:r>
          </w:p>
        </w:tc>
      </w:tr>
      <w:tr>
        <w:trPr>
          <w:trHeight w:val="1549"/>
        </w:trPr>
        <w:tc>
          <w:tcPr>
            <w:tcW w:w="1382" w:type="dxa"/>
            <w:vMerge w:val="restart"/>
            <w:tcBorders>
              <w:tl2br w:val="nil"/>
              <w:tr2bl w:val="nil"/>
            </w:tcBorders>
            <w:vAlign w:val="center"/>
          </w:tcPr>
          <w:p>
            <w:pPr>
              <w:pStyle w:val="304"/>
              <w:jc w:val="center"/>
              <w:textAlignment w:val="center"/>
            </w:pPr>
            <w:r>
              <w:t>瑞士</w:t>
            </w:r>
          </w:p>
        </w:tc>
        <w:tc>
          <w:tcPr>
            <w:tcW w:w="596" w:type="dxa"/>
            <w:tcBorders>
              <w:top w:val="single" w:sz="4" w:space="0" w:color="000000"/>
              <w:left w:val="single" w:sz="4" w:space="0" w:color="000000"/>
              <w:right w:val="single" w:sz="4" w:space="0" w:color="000000"/>
            </w:tcBorders>
            <w:vAlign w:val="center"/>
          </w:tcPr>
          <w:p>
            <w:pPr>
              <w:pStyle w:val="131"/>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93" w:type="dxa"/>
            <w:vAlign w:val="center"/>
          </w:tcPr>
          <w:p>
            <w:pPr>
              <w:jc w:val="left"/>
              <w:rPr>
                <w:rFonts w:ascii="宋体" w:cs="宋体"/>
                <w:sz w:val="22"/>
              </w:rPr>
            </w:pPr>
            <w:r>
              <w:rPr>
                <w:rFonts w:ascii="宋体" w:cs="宋体"/>
                <w:sz w:val="22"/>
              </w:rPr>
              <w:t>食品立法实施条例》（SR 817.042）。《瑞士食品立法实施条例》附件2和附件3提及了(EU)2019/1793号条例的附件。该条例规定了关于在进入欧盟时暂时加强对来自某些第三国的某些非动物源性食品和饲料的官方控制的规则（见附件一）；由于真菌毒素（包括黄曲霉毒素、农药残留和微生物污染）的污染风险，从某些第三国进口某些食品和饲料的特殊条件（附件二——加强官方边境管制和附有第三国取样和分析结果的官方证书）。因此，为了维护食品安全，必须将对(EU)2019/1793附件的修改纳入瑞士法律。该通报是指欧盟通报G/SPS/N/EU/957。</w:t>
            </w:r>
          </w:p>
        </w:tc>
      </w:tr>
      <w:tr>
        <w:trPr>
          <w:trHeight w:val="78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2"/>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93" w:type="dxa"/>
            <w:vAlign w:val="center"/>
          </w:tcPr>
          <w:p>
            <w:pPr>
              <w:jc w:val="left"/>
              <w:rPr>
                <w:rFonts w:ascii="宋体" w:cs="宋体"/>
                <w:sz w:val="22"/>
              </w:rPr>
            </w:pPr>
            <w:r>
              <w:rPr>
                <w:rFonts w:ascii="宋体" w:cs="宋体"/>
                <w:sz w:val="22"/>
              </w:rPr>
              <w:t>对食品中使用的调味料和具有调味特性的食品成分的监管。在欧盟合法投放市场的调味品可以直接在瑞士使用。为使《调味品条例》附表3所载的准许调味品一览表保持最新，我们会定期将这些物质加入附表内。</w:t>
            </w:r>
          </w:p>
        </w:tc>
      </w:tr>
      <w:tr>
        <w:trPr>
          <w:trHeight w:val="1237"/>
        </w:trPr>
        <w:tc>
          <w:tcPr>
            <w:tcW w:w="1382" w:type="dxa"/>
            <w:vMerge w:val="restart"/>
            <w:tcBorders>
              <w:tl2br w:val="nil"/>
              <w:tr2bl w:val="nil"/>
            </w:tcBorders>
            <w:vAlign w:val="center"/>
          </w:tcPr>
          <w:p>
            <w:pPr>
              <w:pStyle w:val="305"/>
              <w:jc w:val="center"/>
              <w:textAlignment w:val="center"/>
            </w:pPr>
            <w:r>
              <w:t>萨尔瓦多</w:t>
            </w:r>
          </w:p>
          <w:p>
            <w:pPr>
              <w:pStyle w:val="306"/>
              <w:jc w:val="center"/>
              <w:textAlignment w:val="center"/>
            </w:pPr>
          </w:p>
        </w:tc>
        <w:tc>
          <w:tcPr>
            <w:tcW w:w="596" w:type="dxa"/>
            <w:tcBorders>
              <w:top w:val="single" w:sz="4" w:space="0" w:color="000000"/>
              <w:left w:val="single" w:sz="4" w:space="0" w:color="000000"/>
              <w:right w:val="single" w:sz="4" w:space="0" w:color="000000"/>
            </w:tcBorders>
            <w:vAlign w:val="center"/>
          </w:tcPr>
          <w:p>
            <w:pPr>
              <w:pStyle w:val="13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93" w:type="dxa"/>
            <w:vAlign w:val="center"/>
          </w:tcPr>
          <w:p>
            <w:pPr>
              <w:rPr>
                <w:rFonts w:ascii="宋体" w:cs="宋体" w:hint="eastAsia"/>
                <w:sz w:val="22"/>
              </w:rPr>
            </w:pPr>
            <w:r>
              <w:rPr>
                <w:rFonts w:ascii="宋体" w:cs="宋体"/>
                <w:sz w:val="22"/>
              </w:rPr>
              <w:t>蜂蜜加工厂的良好卫生实践和危害分析及关键控制点(HACCP)系统(萨尔瓦多技术法规(RTS)第65.03.02号：26蜂蜜加工厂的良好卫生实践和危害分析及关键控制点(HACCP)系统)。已通知的法规规定了良好卫生规范和危害分析和关键控制点（HACCP）系统的要求，加工适合人类消费的蜂蜜的工厂必须满足这些要求。它适用于在国家领土内从事蜂蜜接收、加工、包装、储存和运输的自然人或法人，并经农业和畜牧业部授权。</w:t>
            </w:r>
          </w:p>
        </w:tc>
      </w:tr>
      <w:tr>
        <w:trPr>
          <w:trHeight w:val="118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4"/>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93" w:type="dxa"/>
            <w:vAlign w:val="center"/>
          </w:tcPr>
          <w:p>
            <w:pPr>
              <w:pStyle w:val="173"/>
              <w:rPr>
                <w:rFonts w:ascii="宋体" w:cs="宋体"/>
                <w:sz w:val="22"/>
              </w:rPr>
            </w:pPr>
            <w:r>
              <w:rPr>
                <w:rFonts w:ascii="宋体" w:cs="宋体"/>
                <w:sz w:val="22"/>
              </w:rPr>
              <w:t>萨尔瓦多技术法规RTS 13.07.01：26摩托车手和乘客的安全认证头盔。萨尔瓦多技术法规（RTS）第13.07.01号：26摩托车手和乘客认证安全帽技术规格、标签要求和最终进口）。已通知的法规规定了在本国境内制造、永久进口、销售或分销的摩托车使用者（摩托车手）安全帽的强制性技术规范、测试方法、标签和认证要求。它适用于摩托车使用者（摩托车手）认证安全帽在国家领土内的制造、最终进口、营销和分销。与自行车和踏板辅助自行车一起使用的防护头盔不在本法规范围内。</w:t>
            </w:r>
          </w:p>
        </w:tc>
      </w:tr>
      <w:tr>
        <w:trPr>
          <w:trHeight w:val="613"/>
        </w:trPr>
        <w:tc>
          <w:tcPr>
            <w:tcW w:w="1382" w:type="dxa"/>
            <w:vMerge w:val="restart"/>
            <w:tcBorders>
              <w:tl2br w:val="nil"/>
              <w:tr2bl w:val="nil"/>
            </w:tcBorders>
            <w:vAlign w:val="center"/>
          </w:tcPr>
          <w:p>
            <w:pPr>
              <w:pStyle w:val="273"/>
              <w:jc w:val="center"/>
              <w:textAlignment w:val="center"/>
            </w:pPr>
            <w:r>
              <w:t>乌干达</w:t>
            </w:r>
          </w:p>
        </w:tc>
        <w:tc>
          <w:tcPr>
            <w:tcW w:w="596" w:type="dxa"/>
            <w:tcBorders>
              <w:top w:val="single" w:sz="4" w:space="0" w:color="000000"/>
              <w:left w:val="single" w:sz="4" w:space="0" w:color="000000"/>
              <w:right w:val="single" w:sz="4" w:space="0" w:color="000000"/>
            </w:tcBorders>
            <w:vAlign w:val="center"/>
          </w:tcPr>
          <w:p>
            <w:pPr>
              <w:pStyle w:val="13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93" w:type="dxa"/>
            <w:vAlign w:val="center"/>
          </w:tcPr>
          <w:p>
            <w:pPr>
              <w:pStyle w:val="174"/>
              <w:jc w:val="left"/>
              <w:rPr>
                <w:rFonts w:ascii="宋体" w:cs="宋体"/>
                <w:sz w:val="22"/>
              </w:rPr>
            </w:pPr>
            <w:r>
              <w:rPr>
                <w:rFonts w:ascii="宋体" w:cs="宋体"/>
                <w:sz w:val="22"/>
              </w:rPr>
              <w:t>DUS 2689：2025，清洁炉灶和清洁烹饪解决方案机构生物质炉灶规范，第一版。该乌干达标准草案规定了使用火力大于10 kW的固体生物质燃料的公共炉灶(IC)的结构和性能要求。本文件包括适用于机构中使用的固定或便携式炉灶的规范。</w:t>
            </w:r>
          </w:p>
        </w:tc>
      </w:tr>
      <w:tr>
        <w:trPr>
          <w:trHeight w:val="30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6"/>
              <w:jc w:val="center"/>
              <w:rPr>
                <w:rFonts w:ascii="宋体" w:cs="宋体"/>
                <w:sz w:val="22"/>
              </w:rPr>
            </w:pPr>
            <w:r>
              <w:rPr>
                <w:rFonts w:ascii="宋体" w:cs="宋体" w:hint="eastAsia"/>
                <w:sz w:val="22"/>
              </w:rPr>
              <w:t>5</w:t>
            </w:r>
            <w:r>
              <w:rPr>
                <w:rFonts w:ascii="宋体" w:cs="宋体"/>
                <w:sz w:val="22"/>
              </w:rPr>
              <w:t>1</w:t>
            </w:r>
          </w:p>
        </w:tc>
        <w:tc>
          <w:tcPr>
            <w:tcW w:w="12193" w:type="dxa"/>
            <w:vAlign w:val="center"/>
          </w:tcPr>
          <w:p>
            <w:pPr>
              <w:pStyle w:val="64"/>
              <w:jc w:val="left"/>
              <w:rPr>
                <w:rFonts w:ascii="宋体" w:cs="宋体"/>
                <w:sz w:val="22"/>
              </w:rPr>
            </w:pPr>
            <w:r>
              <w:rPr>
                <w:rFonts w:ascii="宋体" w:cs="宋体"/>
                <w:sz w:val="22"/>
              </w:rPr>
              <w:t>DUS 2590：2026，食用牛油果油规范，第一版。本标准草案规定了供人食用的、源自牛油果的食用牛油果油的要求、取样和检测方法。注：本乌干达标准草案也已向SPS委员会通报。</w:t>
            </w:r>
          </w:p>
        </w:tc>
      </w:tr>
      <w:tr>
        <w:trPr>
          <w:trHeight w:val="289"/>
        </w:trPr>
        <w:tc>
          <w:tcPr>
            <w:tcW w:w="1382" w:type="dxa"/>
            <w:tcBorders>
              <w:tl2br w:val="nil"/>
              <w:tr2bl w:val="nil"/>
            </w:tcBorders>
            <w:vAlign w:val="center"/>
          </w:tcPr>
          <w:p>
            <w:pPr>
              <w:pStyle w:val="275"/>
              <w:jc w:val="center"/>
            </w:pPr>
            <w:r>
              <w:t>西班牙</w:t>
            </w:r>
          </w:p>
        </w:tc>
        <w:tc>
          <w:tcPr>
            <w:tcW w:w="596" w:type="dxa"/>
            <w:tcBorders>
              <w:top w:val="single" w:sz="4" w:space="0" w:color="000000"/>
              <w:left w:val="single" w:sz="4" w:space="0" w:color="000000"/>
              <w:right w:val="single" w:sz="4" w:space="0" w:color="000000"/>
            </w:tcBorders>
            <w:vAlign w:val="center"/>
          </w:tcPr>
          <w:p>
            <w:pPr>
              <w:pStyle w:val="137"/>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93" w:type="dxa"/>
            <w:vAlign w:val="center"/>
          </w:tcPr>
          <w:p>
            <w:pPr>
              <w:jc w:val="left"/>
              <w:rPr>
                <w:rFonts w:ascii="宋体" w:cs="宋体"/>
                <w:sz w:val="22"/>
              </w:rPr>
            </w:pPr>
            <w:r>
              <w:rPr>
                <w:rFonts w:ascii="宋体" w:cs="宋体"/>
                <w:sz w:val="22"/>
              </w:rPr>
              <w:t>监管废旧工业油的皇家法令草案。皇家法令草案根据4月8日第7/2022号法律和适用的其他法规更新了废旧工业油生产和管理的法律制度，以防止这些油对人类健康和环境造成的风险并减少其产生。同样，它还更新了投放国内市场的工业用油生产商的延伸责任。为此，皇家法令草案规定：有义务单独收集废旧工业用油，特别是避免与水或其他废物混合。废旧工业用油的管理，因此必须优先考虑再生，然后转化为燃料，并最终进行能源增值。根据4月8日第7/2022号法律，工业用油生产商的延伸责任制度，因此工业用油生产商有义务在产品生产商登记册的相应部分进行登记，并每年提供有关投放市场的信息，并至少承担单独收集废旧工业用油的成本、运输、分析和储存，以及用于再生时。治疗费用。他们还必须支付向废旧工业油的用户和所有者提供预防措施的信息以及收集和报告数据的费用。</w:t>
            </w:r>
          </w:p>
        </w:tc>
      </w:tr>
      <w:tr>
        <w:trPr>
          <w:trHeight w:val="1035"/>
        </w:trPr>
        <w:tc>
          <w:tcPr>
            <w:tcW w:w="1382" w:type="dxa"/>
            <w:tcBorders>
              <w:tl2br w:val="nil"/>
              <w:tr2bl w:val="nil"/>
            </w:tcBorders>
            <w:vAlign w:val="center"/>
          </w:tcPr>
          <w:p>
            <w:pPr>
              <w:pStyle w:val="275"/>
              <w:jc w:val="center"/>
            </w:pPr>
            <w:r>
              <w:t>以色列</w:t>
            </w:r>
          </w:p>
        </w:tc>
        <w:tc>
          <w:tcPr>
            <w:tcW w:w="596" w:type="dxa"/>
            <w:tcBorders>
              <w:top w:val="single" w:sz="4" w:space="0" w:color="000000"/>
              <w:left w:val="single" w:sz="4" w:space="0" w:color="000000"/>
              <w:right w:val="single" w:sz="4" w:space="0" w:color="000000"/>
            </w:tcBorders>
            <w:vAlign w:val="center"/>
          </w:tcPr>
          <w:p>
            <w:pPr>
              <w:pStyle w:val="138"/>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93" w:type="dxa"/>
            <w:vAlign w:val="center"/>
          </w:tcPr>
          <w:p>
            <w:pPr>
              <w:pStyle w:val="176"/>
              <w:jc w:val="left"/>
              <w:rPr>
                <w:rFonts w:ascii="宋体" w:cs="宋体"/>
                <w:sz w:val="22"/>
              </w:rPr>
            </w:pPr>
            <w:r>
              <w:rPr>
                <w:rFonts w:ascii="宋体" w:cs="宋体"/>
                <w:sz w:val="22"/>
              </w:rPr>
              <w:t>公共健康保护（食品）（第二附件A修正案）（第1169/2011号条例——向消费者提供食品信息），5776-2026。欧洲议会和理事会2011年10月25日关于向消费者提供食品信息的第1169/2011号法规（欧盟）已在以色列通过，作为《公共卫生保护（食品）法》第5776—2015号第10次修正案的一部分，并列入附件2A第5项。该法规自2025年1月1日起在以色列自愿适用，并将自2028年1月1日起对所有贸易商强制适用。该法规尚未完全适用。关于采纳第1169/2011号法规的修改、条件、扩展和例外情况，列于附表2A第5项的A、B、C栏中，此外还包括该法第3A(a1)至(a5)条规定的例外情形。最新更新的合并版本已在卫生部网站上公布并采纳，自2025年4月1日起为有效版本。第1169/2011号法规第1(4)条规定，该法规的适用不影响适用于特定食品的特殊标签要求。</w:t>
            </w:r>
          </w:p>
        </w:tc>
      </w:tr>
      <w:tr>
        <w:trPr>
          <w:trHeight w:val="543"/>
        </w:trPr>
        <w:tc>
          <w:tcPr>
            <w:tcW w:w="1382" w:type="dxa"/>
            <w:vMerge w:val="restart"/>
            <w:tcBorders>
              <w:tl2br w:val="nil"/>
              <w:tr2bl w:val="nil"/>
            </w:tcBorders>
            <w:vAlign w:val="center"/>
          </w:tcPr>
          <w:p>
            <w:pPr>
              <w:pStyle w:val="307"/>
              <w:jc w:val="center"/>
            </w:pPr>
            <w:r>
              <w:t>印度</w:t>
            </w:r>
          </w:p>
        </w:tc>
        <w:tc>
          <w:tcPr>
            <w:tcW w:w="596" w:type="dxa"/>
            <w:tcBorders>
              <w:top w:val="single" w:sz="4" w:space="0" w:color="000000"/>
              <w:left w:val="single" w:sz="4" w:space="0" w:color="000000"/>
              <w:right w:val="single" w:sz="4" w:space="0" w:color="000000"/>
            </w:tcBorders>
            <w:vAlign w:val="center"/>
          </w:tcPr>
          <w:p>
            <w:pPr>
              <w:pStyle w:val="139"/>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93" w:type="dxa"/>
            <w:vAlign w:val="center"/>
          </w:tcPr>
          <w:p>
            <w:pPr>
              <w:jc w:val="left"/>
              <w:rPr>
                <w:rFonts w:ascii="宋体" w:cs="宋体"/>
                <w:sz w:val="22"/>
              </w:rPr>
            </w:pPr>
            <w:r>
              <w:rPr>
                <w:rFonts w:ascii="宋体" w:cs="宋体"/>
                <w:sz w:val="22"/>
              </w:rPr>
              <w:t>“局域网交换机”基本要求（ER）标准修订通报。该标准草案是关于“局域网交换机”的符合性评定基本要求标准。</w:t>
            </w:r>
          </w:p>
        </w:tc>
      </w:tr>
      <w:tr>
        <w:trPr>
          <w:trHeight w:val="66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93" w:type="dxa"/>
            <w:vAlign w:val="center"/>
          </w:tcPr>
          <w:p>
            <w:pPr>
              <w:pStyle w:val="247"/>
              <w:jc w:val="left"/>
              <w:rPr>
                <w:rFonts w:ascii="宋体" w:cs="宋体"/>
                <w:sz w:val="22"/>
              </w:rPr>
            </w:pPr>
            <w:r>
              <w:rPr>
                <w:rFonts w:ascii="宋体" w:cs="宋体"/>
                <w:sz w:val="22"/>
              </w:rPr>
              <w:t>2025年（纺织品、服装和制成品的标签和标记）条例。纺织品、服装和制成品的标签和标记法规，以保护印度消费者的利益，并使印度服装和制成品制造符合全球惯例。</w:t>
            </w:r>
          </w:p>
        </w:tc>
      </w:tr>
      <w:tr>
        <w:trPr>
          <w:trHeight w:val="631"/>
        </w:trPr>
        <w:tc>
          <w:tcPr>
            <w:tcW w:w="1382" w:type="dxa"/>
            <w:tcBorders>
              <w:tl2br w:val="nil"/>
              <w:tr2bl w:val="nil"/>
            </w:tcBorders>
            <w:vAlign w:val="center"/>
          </w:tcPr>
          <w:p>
            <w:pPr>
              <w:pStyle w:val="275"/>
              <w:jc w:val="center"/>
            </w:pPr>
            <w:r>
              <w:t>约旦</w:t>
            </w:r>
          </w:p>
        </w:tc>
        <w:tc>
          <w:tcPr>
            <w:tcW w:w="596" w:type="dxa"/>
            <w:tcBorders>
              <w:top w:val="single" w:sz="4" w:space="0" w:color="000000"/>
              <w:left w:val="single" w:sz="4" w:space="0" w:color="000000"/>
              <w:right w:val="single" w:sz="4" w:space="0" w:color="000000"/>
            </w:tcBorders>
            <w:vAlign w:val="center"/>
          </w:tcPr>
          <w:p>
            <w:pPr>
              <w:pStyle w:val="141"/>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93" w:type="dxa"/>
            <w:vAlign w:val="center"/>
          </w:tcPr>
          <w:p>
            <w:pPr>
              <w:jc w:val="left"/>
              <w:rPr>
                <w:rFonts w:ascii="宋体" w:cs="宋体" w:hint="eastAsia"/>
                <w:sz w:val="22"/>
              </w:rPr>
            </w:pPr>
            <w:r>
              <w:rPr>
                <w:rFonts w:ascii="宋体" w:cs="宋体"/>
                <w:sz w:val="22"/>
              </w:rPr>
              <w:t>DJS 2411：2026-饲料和饲料添加剂狗和猫的食物。本约旦标准规范涉及制造的干、湿和半湿食品配方以及宠物食品（猫和狗）中必须含有的维生素和微量矿物质的混合物。</w:t>
            </w:r>
          </w:p>
        </w:tc>
      </w:tr>
      <w:tr>
        <w:trPr>
          <w:trHeight w:val="1237"/>
        </w:trPr>
        <w:tc>
          <w:tcPr>
            <w:tcW w:w="1382" w:type="dxa"/>
            <w:vMerge w:val="restart"/>
            <w:tcBorders>
              <w:tl2br w:val="nil"/>
              <w:tr2bl w:val="nil"/>
            </w:tcBorders>
            <w:vAlign w:val="center"/>
          </w:tcPr>
          <w:p>
            <w:pPr>
              <w:pStyle w:val="308"/>
              <w:jc w:val="center"/>
            </w:pPr>
            <w:r>
              <w:t>越南</w:t>
            </w:r>
          </w:p>
        </w:tc>
        <w:tc>
          <w:tcPr>
            <w:tcW w:w="596" w:type="dxa"/>
            <w:tcBorders>
              <w:top w:val="single" w:sz="4" w:space="0" w:color="000000"/>
              <w:left w:val="single" w:sz="4" w:space="0" w:color="000000"/>
              <w:right w:val="single" w:sz="4" w:space="0" w:color="000000"/>
            </w:tcBorders>
            <w:vAlign w:val="center"/>
          </w:tcPr>
          <w:p>
            <w:pPr>
              <w:pStyle w:val="14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93" w:type="dxa"/>
            <w:vAlign w:val="center"/>
          </w:tcPr>
          <w:p>
            <w:pPr>
              <w:jc w:val="left"/>
              <w:rPr>
                <w:rFonts w:ascii="宋体" w:cs="宋体" w:hint="eastAsia"/>
                <w:sz w:val="22"/>
              </w:rPr>
            </w:pPr>
            <w:r>
              <w:rPr>
                <w:rFonts w:ascii="宋体" w:cs="宋体"/>
                <w:sz w:val="22"/>
              </w:rPr>
              <w:t>修改补充《烟草危害防治法》若干条款的法律草案。该法律草案包括两条：第一条。对《烟草危害防治法》若干条款的修改和补充：1.修改第1条，在第2条第1条后增加第1a、1b、1c、1d、1d和1e条，从而修改和补充烟草、常规烟草制品、电子烟、电子烟液体、加热烟草制品、电子设备、特种烟草制品和其他新型烟草制品的定义。修改第三条第四款，补充国家防治烟草危害的政策。</w:t>
            </w:r>
          </w:p>
        </w:tc>
      </w:tr>
      <w:tr>
        <w:trPr>
          <w:trHeight w:val="20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国家挂车、半挂车安全环保技术规程草案。该国家技术法规草案规定了新型挂车、半挂车生产、装配和进口环节的技术安全质量和环境保护检验、试验、认证的技术要求。本国家技术法规草案适用于：进口车辆的国内制造、装配企业、组织和个人；以及从事车辆技术安全质量和环境保护管理、检验、检测、认证的组织和个人。</w:t>
            </w:r>
          </w:p>
        </w:tc>
      </w:tr>
      <w:tr>
        <w:trPr>
          <w:trHeight w:val="319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4"/>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93" w:type="dxa"/>
            <w:vAlign w:val="center"/>
          </w:tcPr>
          <w:p>
            <w:pPr>
              <w:jc w:val="left"/>
              <w:rPr>
                <w:rFonts w:ascii="宋体" w:cs="宋体"/>
                <w:sz w:val="22"/>
              </w:rPr>
            </w:pPr>
            <w:r>
              <w:rPr>
                <w:rFonts w:ascii="宋体" w:cs="宋体"/>
                <w:sz w:val="22"/>
              </w:rPr>
              <w:t>颁布建筑材料产品和商品国家技术法规的通报草案以及QCVN XX：202X/BXD-建筑材料产品和商品国家技术法规草案。本通报草案颁布国家技术法规，取代第04/2023/TT-BXD号通报和QCVN 16:2023/BXD。本通报草案计划于2027年1月1日起生效。其中包含过渡性条款，适用于符合性证书、已注册或指定的符合性评估机构、已完成抽样的符合性评估档案，以及国内生产或进口的建筑材料及产品。该技术法规草案（QCVN）对在越南国内生产、进口、上市流通和使用的中高风险建筑材料产品及商品，规定了强制性技术要求、限值、测试方法和抽样程序。主要修订和增补内容包括：根据风险等级对所涵盖产品清单进行重新分类和调整；更新基本技术特性、限值、参考标准、测试方法和抽样程序；新增部分新型材料以及来源于工业副产品的填充/填方材料；明确符合性评估和符合性声明的原则，根据产品和风险等级分别采用方法2、方法5或方法7；对于高风险产品，符合性声明须以建设部指定的认证机构出具的认证为依据；对于中风险产品，符合性声明可以基于经认可/指定的认证机构出具的认证，或基于经认可/指定的检测机构出具的测试结果进行自我评估；规定相关组织和个人责任，同时对现有证书、符合性评估档案、已生产或进口的产品以及符合性评估机构制定过渡性安排。</w:t>
            </w:r>
          </w:p>
        </w:tc>
      </w:tr>
      <w:tr>
        <w:trPr>
          <w:trHeight w:val="1253"/>
        </w:trPr>
        <w:tc>
          <w:tcPr>
            <w:tcW w:w="1382" w:type="dxa"/>
            <w:vMerge w:val="restart"/>
            <w:tcBorders>
              <w:tl2br w:val="nil"/>
              <w:tr2bl w:val="nil"/>
            </w:tcBorders>
            <w:vAlign w:val="center"/>
          </w:tcPr>
          <w:p>
            <w:pPr>
              <w:pStyle w:val="310"/>
              <w:jc w:val="center"/>
            </w:pPr>
            <w:r>
              <w:t>智利</w:t>
            </w:r>
          </w:p>
        </w:tc>
        <w:tc>
          <w:tcPr>
            <w:tcW w:w="596" w:type="dxa"/>
            <w:tcBorders>
              <w:top w:val="single" w:sz="4" w:space="0" w:color="000000"/>
              <w:left w:val="single" w:sz="4" w:space="0" w:color="000000"/>
              <w:right w:val="single" w:sz="4" w:space="0" w:color="000000"/>
            </w:tcBorders>
            <w:vAlign w:val="center"/>
          </w:tcPr>
          <w:p>
            <w:pPr>
              <w:pStyle w:val="14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93" w:type="dxa"/>
            <w:vAlign w:val="center"/>
          </w:tcPr>
          <w:p>
            <w:r>
              <w:t>批准关于人用药品系列控制及其相关程序的用户说明，并使其决议无效。智利的药品系列控制对应于在分销和使用之前，根据对每批或子批药品的128项风险的评估，审查127项生产和控制历史以及分析评估的过程，其中129项是生物制品或其他药品的强制性要求，由于130种不同的条件，研究所决定对其进行控制。它的目的是通过独立控制来保证质量和安全。在该流程中，有适用于疫苗和血液制品的批次放行（LL）子流程132和适用于其他生物制品的生物制品控制（CB）子流程133。</w:t>
            </w:r>
          </w:p>
        </w:tc>
      </w:tr>
      <w:tr>
        <w:trPr>
          <w:trHeight w:val="27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93" w:type="dxa"/>
            <w:vAlign w:val="center"/>
          </w:tcPr>
          <w:p>
            <w:pPr>
              <w:jc w:val="left"/>
              <w:rPr>
                <w:rFonts w:ascii="宋体" w:cs="宋体"/>
                <w:sz w:val="22"/>
              </w:rPr>
            </w:pPr>
            <w:r>
              <w:rPr>
                <w:rFonts w:ascii="宋体" w:cs="宋体"/>
                <w:sz w:val="22"/>
              </w:rPr>
              <w:t>修改2014年第7,214号决议，规定对所有来源的观赏植物、指定物种和材料类型的进口植物检疫要求，并废除了2023年第4,166号决议。通报措施旨在制定六种观赏植物新物种的植物检疫进口要求，更新智利已经存在的某些有害生物的进口要求，并更新某些观赏植物物种的入境后强制性检疫要求。此外，它还废除了第4,166/202 3号决议。有关更多详细信息，请查看本通知所附文件。</w:t>
            </w:r>
          </w:p>
        </w:tc>
      </w:tr>
      <w:tr>
        <w:trPr>
          <w:trHeight w:val="1861"/>
        </w:trPr>
        <w:tc>
          <w:tcPr>
            <w:tcW w:w="1382" w:type="dxa"/>
            <w:vMerge w:val="restart"/>
            <w:tcBorders>
              <w:tl2br w:val="nil"/>
              <w:tr2bl w:val="nil"/>
            </w:tcBorders>
            <w:vAlign w:val="center"/>
          </w:tcPr>
          <w:p>
            <w:pPr>
              <w:pStyle w:val="312"/>
              <w:jc w:val="center"/>
            </w:pPr>
            <w:r>
              <w:t>乌克兰</w:t>
            </w:r>
          </w:p>
        </w:tc>
        <w:tc>
          <w:tcPr>
            <w:tcW w:w="596" w:type="dxa"/>
            <w:tcBorders>
              <w:top w:val="single" w:sz="4" w:space="0" w:color="000000"/>
              <w:left w:val="single" w:sz="4" w:space="0" w:color="000000"/>
              <w:right w:val="single" w:sz="4" w:space="0" w:color="000000"/>
            </w:tcBorders>
            <w:vAlign w:val="center"/>
          </w:tcPr>
          <w:p>
            <w:pPr>
              <w:pStyle w:val="147"/>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93" w:type="dxa"/>
            <w:vAlign w:val="center"/>
          </w:tcPr>
          <w:p>
            <w:pPr>
              <w:pStyle w:val="185"/>
              <w:jc w:val="left"/>
              <w:rPr>
                <w:rFonts w:ascii="宋体" w:cs="宋体"/>
                <w:sz w:val="22"/>
              </w:rPr>
            </w:pPr>
            <w:r>
              <w:rPr>
                <w:rFonts w:ascii="宋体" w:cs="宋体"/>
                <w:sz w:val="22"/>
              </w:rPr>
              <w:t>乌克兰内阁决议草案“关于乌克兰内阁2021年1月20日第65号决议修正案”（关于化妆品技术法规）。该决议草案规定了对乌克兰内阁部长会议2021年1月20日第65号“关于批准《化妆品技术法规》”决议的修订。修订内容规定，将过渡期延长至2027年7月31日，在此期间，不得以不符合《技术法规》要求为由，禁止或限制在第65号决议生效之日前已投放市场的化妆品继续上市销售。此外，该决议草案明确了根据《化妆品技术法规》附件1第B部分负责进行化妆品安全评估的专家的学历资格要求。草案规定，化妆品安全评估应由具备以下资格的专家进行：持有“I2医学”或“I8药学”专业硕士学位，或持有乌克兰卫生部批准的专业目录中所列相关专业的硕士学位。</w:t>
            </w:r>
          </w:p>
        </w:tc>
      </w:tr>
      <w:tr>
        <w:trPr>
          <w:trHeight w:val="113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8"/>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93" w:type="dxa"/>
            <w:vAlign w:val="center"/>
          </w:tcPr>
          <w:p>
            <w:pPr>
              <w:pStyle w:val="186"/>
              <w:jc w:val="left"/>
              <w:rPr>
                <w:rFonts w:ascii="宋体" w:cs="宋体"/>
                <w:sz w:val="22"/>
              </w:rPr>
            </w:pPr>
            <w:r>
              <w:rPr>
                <w:rFonts w:ascii="宋体" w:cs="宋体"/>
                <w:sz w:val="22"/>
              </w:rPr>
              <w:t>乌克兰经济、环境和农业部2026年4月30日第5486号命令“关于批准用于特定营养目的的饲料特性的国家声明清单”。该命令是根据乌克兰“饲料安全和卫生法”第28（1）条制定的，并批准了用于特定营养目的的饲料特性的州权利要求清单，其中规定了权利要求号、饲料的预期用途（特定营养目的）、饲料的基本营养特性、饲料预期的动物物种或类别、饲料成分特性（声明）、建议使用期限以及标签中包含的其他细节。</w:t>
            </w:r>
          </w:p>
        </w:tc>
      </w:tr>
      <w:tr>
        <w:trPr>
          <w:trHeight w:val="156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93" w:type="dxa"/>
            <w:vAlign w:val="center"/>
          </w:tcPr>
          <w:p>
            <w:pPr>
              <w:pStyle w:val="187"/>
              <w:jc w:val="left"/>
              <w:rPr>
                <w:rFonts w:ascii="宋体" w:cs="宋体"/>
                <w:sz w:val="22"/>
              </w:rPr>
            </w:pPr>
            <w:r>
              <w:rPr>
                <w:rFonts w:ascii="宋体" w:cs="宋体"/>
                <w:sz w:val="22"/>
              </w:rPr>
              <w:t xml:space="preserve">乌克兰卫生部“关于批准在乌克兰境内实施禁令（临时禁令）和撤回药品流通的程序”的命令草案。该命令草案是根据乌克兰2022年7月28日第2469-IX号法律“关于药品”第109（6）条制定的，旨在改进对药品流通实施禁令、国家监管机构从流通中撤回药品以及营销授权持有人从流通中召回药品的程序。它还规定了恢复药品流通和防止不合标准、未经注册和假药流通的机制。命令草案批准的程序规定了通过决定禁止（临时禁止）不符合立法和监管文件规定要求的药品批次以及违反适用法律要求从乌克兰进口或出口的药品在乌克兰流通的程序。它还规定了从流通中撤回此类药物的程序。 </w:t>
            </w:r>
          </w:p>
        </w:tc>
      </w:tr>
      <w:tr>
        <w:trPr>
          <w:trHeight w:val="9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0"/>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93" w:type="dxa"/>
            <w:vAlign w:val="center"/>
          </w:tcPr>
          <w:p>
            <w:pPr>
              <w:pStyle w:val="188"/>
              <w:jc w:val="left"/>
              <w:rPr>
                <w:rFonts w:ascii="宋体" w:cs="宋体"/>
                <w:sz w:val="22"/>
              </w:rPr>
            </w:pPr>
            <w:r>
              <w:rPr>
                <w:rFonts w:ascii="宋体" w:cs="宋体"/>
                <w:sz w:val="22"/>
              </w:rPr>
              <w:t>乌克兰卫生部“关于批准通报（提交）化妆品信息程序修正案”的命令草案。制定该命令草案的目的是改进和澄清乌克兰卫生部2023年12月18日第2147号令批准的《化妆品信息通报（提交）程序》的某些条款，其中规定了化妆品信息通报（提交）机制以及建立和维护化妆品信息通报（提交）电子系统的程序。</w:t>
            </w:r>
          </w:p>
        </w:tc>
      </w:tr>
      <w:tr>
        <w:trPr>
          <w:trHeight w:val="55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93" w:type="dxa"/>
            <w:vAlign w:val="center"/>
          </w:tcPr>
          <w:p>
            <w:pPr>
              <w:pStyle w:val="190"/>
              <w:jc w:val="left"/>
              <w:rPr>
                <w:rFonts w:ascii="宋体" w:cs="宋体"/>
                <w:sz w:val="22"/>
              </w:rPr>
            </w:pPr>
            <w:r>
              <w:rPr>
                <w:rFonts w:ascii="宋体" w:cs="宋体"/>
                <w:sz w:val="22"/>
              </w:rPr>
              <w:t>乌克兰内阁部长会议决议草案《关于药品领域国家监督（管控）的若干问题》。决议草案旨在建立与欧盟立法相统一的药品领域国家监督（管控）统一机制。决议草案拟批准：《许可前检查程序》，该程序规定了在颁发药品（不包括原料药）生产、批发和零售分销及进口许可证之前，对物质技术设施、人员资质和质量保证安排进行核查的程序；《对持证者遵守许可条件及良好实践情况进行计划内和计划外检查的程序，以及对良好实践要求合规性进行核查的程序和对国外药品生产商进行检查的程序》，该程序规定了对持证者、其他相关经济运营者（包括经纪人）及国外生产商进行检查的程序；《药品实验室质量控抽取样品程序》，该程序规定了在供应链相关环节对药品（包括临床试验用药品和原料药）进行实验室质量控抽取样品的程序；《药品向公众销售（调配）过程中进行试购买的程序》。决议草案还规定了过渡性条款，允许部分生产商、进口商和批发分销商在戒严期间及其终止或取消后六个月内，在未持有GMP和/或GDP证书的情况下继续运营；并规定对临床试验用药品进口商以及原料药生产商、进口商和分销商的检查自2028年1月1日起施行。</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方正仿宋_GBK" w:hAnsi="Times New Roman"/>
          <w:sz w:val="32"/>
          <w:szCs w:val="32"/>
        </w:rPr>
        <w:t>8</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24</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 w:type="paragraph" w:customStyle="1" w:styleId="192">
    <w:name w:val="样式 162 10 磅"/>
    <w:pPr>
      <w:widowControl w:val="0"/>
      <w:jc w:val="both"/>
    </w:pPr>
    <w:rPr>
      <w:rFonts w:ascii="Calibri" w:eastAsia="宋体" w:cs="Calibri" w:hAnsi="Calibri"/>
      <w:kern w:val="2"/>
      <w:sz w:val="21"/>
      <w:szCs w:val="21"/>
      <w:lang w:val="en-US" w:eastAsia="zh-CN" w:bidi="ar-SA"/>
    </w:rPr>
  </w:style>
  <w:style w:type="paragraph" w:customStyle="1" w:styleId="193">
    <w:name w:val="样式 163 10 磅"/>
    <w:pPr>
      <w:widowControl w:val="0"/>
      <w:jc w:val="both"/>
    </w:pPr>
    <w:rPr>
      <w:rFonts w:ascii="Calibri" w:eastAsia="宋体" w:cs="Calibri" w:hAnsi="Calibri"/>
      <w:kern w:val="2"/>
      <w:sz w:val="21"/>
      <w:szCs w:val="21"/>
      <w:lang w:val="en-US" w:eastAsia="zh-CN" w:bidi="ar-SA"/>
    </w:rPr>
  </w:style>
  <w:style w:type="paragraph" w:customStyle="1" w:styleId="194">
    <w:name w:val="样式 164 10 磅"/>
    <w:pPr>
      <w:widowControl w:val="0"/>
      <w:jc w:val="both"/>
    </w:pPr>
    <w:rPr>
      <w:rFonts w:ascii="Calibri" w:eastAsia="宋体" w:cs="Calibri" w:hAnsi="Calibri"/>
      <w:kern w:val="2"/>
      <w:sz w:val="21"/>
      <w:szCs w:val="21"/>
      <w:lang w:val="en-US" w:eastAsia="zh-CN" w:bidi="ar-SA"/>
    </w:rPr>
  </w:style>
  <w:style w:type="paragraph" w:customStyle="1" w:styleId="195">
    <w:name w:val="样式 165 10 磅"/>
    <w:pPr>
      <w:widowControl w:val="0"/>
      <w:jc w:val="both"/>
    </w:pPr>
    <w:rPr>
      <w:rFonts w:ascii="Calibri" w:eastAsia="宋体" w:cs="Calibri" w:hAnsi="Calibri"/>
      <w:kern w:val="2"/>
      <w:sz w:val="21"/>
      <w:szCs w:val="21"/>
      <w:lang w:val="en-US" w:eastAsia="zh-CN" w:bidi="ar-SA"/>
    </w:rPr>
  </w:style>
  <w:style w:type="paragraph" w:customStyle="1" w:styleId="196">
    <w:name w:val="样式 166 10 磅"/>
    <w:pPr>
      <w:widowControl w:val="0"/>
      <w:jc w:val="both"/>
    </w:pPr>
    <w:rPr>
      <w:rFonts w:ascii="Calibri" w:eastAsia="宋体" w:cs="Calibri" w:hAnsi="Calibri"/>
      <w:kern w:val="2"/>
      <w:sz w:val="21"/>
      <w:szCs w:val="21"/>
      <w:lang w:val="en-US" w:eastAsia="zh-CN" w:bidi="ar-SA"/>
    </w:rPr>
  </w:style>
  <w:style w:type="paragraph" w:customStyle="1" w:styleId="197">
    <w:name w:val="样式 167 10 磅"/>
    <w:pPr>
      <w:widowControl w:val="0"/>
      <w:jc w:val="both"/>
    </w:pPr>
    <w:rPr>
      <w:rFonts w:ascii="Calibri" w:eastAsia="宋体" w:cs="Calibri" w:hAnsi="Calibri"/>
      <w:kern w:val="2"/>
      <w:sz w:val="21"/>
      <w:szCs w:val="21"/>
      <w:lang w:val="en-US" w:eastAsia="zh-CN" w:bidi="ar-SA"/>
    </w:rPr>
  </w:style>
  <w:style w:type="paragraph" w:customStyle="1" w:styleId="198">
    <w:name w:val="样式 168 10 磅"/>
    <w:pPr>
      <w:widowControl w:val="0"/>
      <w:jc w:val="both"/>
    </w:pPr>
    <w:rPr>
      <w:rFonts w:ascii="Calibri" w:eastAsia="宋体" w:cs="Calibri" w:hAnsi="Calibri"/>
      <w:kern w:val="2"/>
      <w:sz w:val="21"/>
      <w:szCs w:val="21"/>
      <w:lang w:val="en-US" w:eastAsia="zh-CN" w:bidi="ar-SA"/>
    </w:rPr>
  </w:style>
  <w:style w:type="paragraph" w:customStyle="1" w:styleId="199">
    <w:name w:val="样式 169 10 磅"/>
    <w:pPr>
      <w:widowControl w:val="0"/>
      <w:jc w:val="both"/>
    </w:pPr>
    <w:rPr>
      <w:rFonts w:ascii="Calibri" w:eastAsia="宋体" w:cs="Calibri" w:hAnsi="Calibri"/>
      <w:kern w:val="2"/>
      <w:sz w:val="21"/>
      <w:szCs w:val="21"/>
      <w:lang w:val="en-US" w:eastAsia="zh-CN" w:bidi="ar-SA"/>
    </w:rPr>
  </w:style>
  <w:style w:type="paragraph" w:customStyle="1" w:styleId="200">
    <w:name w:val="样式 170 10 磅"/>
    <w:pPr>
      <w:widowControl w:val="0"/>
      <w:jc w:val="both"/>
    </w:pPr>
    <w:rPr>
      <w:rFonts w:ascii="Calibri" w:eastAsia="宋体" w:cs="Calibri" w:hAnsi="Calibri"/>
      <w:kern w:val="2"/>
      <w:sz w:val="21"/>
      <w:szCs w:val="21"/>
      <w:lang w:val="en-US" w:eastAsia="zh-CN" w:bidi="ar-SA"/>
    </w:rPr>
  </w:style>
  <w:style w:type="paragraph" w:customStyle="1" w:styleId="201">
    <w:name w:val="样式 171 10 磅"/>
    <w:pPr>
      <w:widowControl w:val="0"/>
      <w:jc w:val="both"/>
    </w:pPr>
    <w:rPr>
      <w:rFonts w:ascii="Calibri" w:eastAsia="宋体" w:cs="Calibri" w:hAnsi="Calibri"/>
      <w:kern w:val="2"/>
      <w:sz w:val="21"/>
      <w:szCs w:val="21"/>
      <w:lang w:val="en-US" w:eastAsia="zh-CN" w:bidi="ar-SA"/>
    </w:rPr>
  </w:style>
  <w:style w:type="paragraph" w:customStyle="1" w:styleId="202">
    <w:name w:val="样式 172 10 磅"/>
    <w:pPr>
      <w:widowControl w:val="0"/>
      <w:jc w:val="both"/>
    </w:pPr>
    <w:rPr>
      <w:rFonts w:ascii="Calibri" w:eastAsia="宋体" w:cs="Calibri" w:hAnsi="Calibri"/>
      <w:kern w:val="2"/>
      <w:sz w:val="21"/>
      <w:szCs w:val="21"/>
      <w:lang w:val="en-US" w:eastAsia="zh-CN" w:bidi="ar-SA"/>
    </w:rPr>
  </w:style>
  <w:style w:type="paragraph" w:customStyle="1" w:styleId="203">
    <w:name w:val="样式 173 10 磅"/>
    <w:pPr>
      <w:widowControl w:val="0"/>
      <w:jc w:val="both"/>
    </w:pPr>
    <w:rPr>
      <w:rFonts w:ascii="Calibri" w:eastAsia="宋体" w:cs="Calibri" w:hAnsi="Calibri"/>
      <w:kern w:val="2"/>
      <w:sz w:val="21"/>
      <w:szCs w:val="21"/>
      <w:lang w:val="en-US" w:eastAsia="zh-CN" w:bidi="ar-SA"/>
    </w:rPr>
  </w:style>
  <w:style w:type="paragraph" w:customStyle="1" w:styleId="204">
    <w:name w:val="样式 174 10 磅"/>
    <w:pPr>
      <w:widowControl w:val="0"/>
      <w:jc w:val="both"/>
    </w:pPr>
    <w:rPr>
      <w:rFonts w:ascii="Calibri" w:eastAsia="宋体" w:cs="Calibri" w:hAnsi="Calibri"/>
      <w:kern w:val="2"/>
      <w:sz w:val="21"/>
      <w:szCs w:val="21"/>
      <w:lang w:val="en-US" w:eastAsia="zh-CN" w:bidi="ar-SA"/>
    </w:rPr>
  </w:style>
  <w:style w:type="paragraph" w:customStyle="1" w:styleId="205">
    <w:name w:val="样式 175 10 磅"/>
    <w:pPr>
      <w:widowControl w:val="0"/>
      <w:jc w:val="both"/>
    </w:pPr>
    <w:rPr>
      <w:rFonts w:ascii="Calibri" w:eastAsia="宋体" w:cs="Calibri" w:hAnsi="Calibri"/>
      <w:kern w:val="2"/>
      <w:sz w:val="21"/>
      <w:szCs w:val="21"/>
      <w:lang w:val="en-US" w:eastAsia="zh-CN" w:bidi="ar-SA"/>
    </w:rPr>
  </w:style>
  <w:style w:type="paragraph" w:customStyle="1" w:styleId="206">
    <w:name w:val="样式 176 10 磅"/>
    <w:pPr>
      <w:widowControl w:val="0"/>
      <w:jc w:val="both"/>
    </w:pPr>
    <w:rPr>
      <w:rFonts w:ascii="Calibri" w:eastAsia="宋体" w:cs="Calibri" w:hAnsi="Calibri"/>
      <w:kern w:val="2"/>
      <w:sz w:val="21"/>
      <w:szCs w:val="21"/>
      <w:lang w:val="en-US" w:eastAsia="zh-CN" w:bidi="ar-SA"/>
    </w:rPr>
  </w:style>
  <w:style w:type="paragraph" w:customStyle="1" w:styleId="207">
    <w:name w:val="样式 177 10 磅"/>
    <w:pPr>
      <w:widowControl w:val="0"/>
      <w:jc w:val="both"/>
    </w:pPr>
    <w:rPr>
      <w:rFonts w:ascii="Calibri" w:eastAsia="宋体" w:cs="Calibri" w:hAnsi="Calibri"/>
      <w:kern w:val="2"/>
      <w:sz w:val="21"/>
      <w:szCs w:val="21"/>
      <w:lang w:val="en-US" w:eastAsia="zh-CN" w:bidi="ar-SA"/>
    </w:rPr>
  </w:style>
  <w:style w:type="paragraph" w:customStyle="1" w:styleId="208">
    <w:name w:val="样式 178 10 磅"/>
    <w:pPr>
      <w:widowControl w:val="0"/>
      <w:jc w:val="both"/>
    </w:pPr>
    <w:rPr>
      <w:rFonts w:ascii="Calibri" w:eastAsia="宋体" w:cs="Calibri" w:hAnsi="Calibri"/>
      <w:kern w:val="2"/>
      <w:sz w:val="21"/>
      <w:szCs w:val="21"/>
      <w:lang w:val="en-US" w:eastAsia="zh-CN" w:bidi="ar-SA"/>
    </w:rPr>
  </w:style>
  <w:style w:type="paragraph" w:customStyle="1" w:styleId="209">
    <w:name w:val="样式 179 10 磅"/>
    <w:pPr>
      <w:widowControl w:val="0"/>
      <w:jc w:val="both"/>
    </w:pPr>
    <w:rPr>
      <w:rFonts w:ascii="Calibri" w:eastAsia="宋体" w:cs="Calibri" w:hAnsi="Calibri"/>
      <w:kern w:val="2"/>
      <w:sz w:val="21"/>
      <w:szCs w:val="21"/>
      <w:lang w:val="en-US" w:eastAsia="zh-CN" w:bidi="ar-SA"/>
    </w:rPr>
  </w:style>
  <w:style w:type="paragraph" w:customStyle="1" w:styleId="210">
    <w:name w:val="样式 180 10 磅"/>
    <w:pPr>
      <w:widowControl w:val="0"/>
      <w:jc w:val="both"/>
    </w:pPr>
    <w:rPr>
      <w:rFonts w:ascii="Calibri" w:eastAsia="宋体" w:cs="Calibri" w:hAnsi="Calibri"/>
      <w:kern w:val="2"/>
      <w:sz w:val="21"/>
      <w:szCs w:val="21"/>
      <w:lang w:val="en-US" w:eastAsia="zh-CN" w:bidi="ar-SA"/>
    </w:rPr>
  </w:style>
  <w:style w:type="paragraph" w:customStyle="1" w:styleId="211">
    <w:name w:val="样式 181 10 磅"/>
    <w:pPr>
      <w:widowControl w:val="0"/>
      <w:jc w:val="both"/>
    </w:pPr>
    <w:rPr>
      <w:rFonts w:ascii="Calibri" w:eastAsia="宋体" w:cs="Calibri" w:hAnsi="Calibri"/>
      <w:kern w:val="2"/>
      <w:sz w:val="21"/>
      <w:szCs w:val="21"/>
      <w:lang w:val="en-US" w:eastAsia="zh-CN" w:bidi="ar-SA"/>
    </w:rPr>
  </w:style>
  <w:style w:type="paragraph" w:customStyle="1" w:styleId="212">
    <w:name w:val="样式 182 10 磅"/>
    <w:pPr>
      <w:widowControl w:val="0"/>
      <w:jc w:val="both"/>
    </w:pPr>
    <w:rPr>
      <w:rFonts w:ascii="Calibri" w:eastAsia="宋体" w:cs="Calibri" w:hAnsi="Calibri"/>
      <w:kern w:val="2"/>
      <w:sz w:val="21"/>
      <w:szCs w:val="21"/>
      <w:lang w:val="en-US" w:eastAsia="zh-CN" w:bidi="ar-SA"/>
    </w:rPr>
  </w:style>
  <w:style w:type="paragraph" w:customStyle="1" w:styleId="213">
    <w:name w:val="样式 183 10 磅"/>
    <w:pPr>
      <w:widowControl w:val="0"/>
      <w:jc w:val="both"/>
    </w:pPr>
    <w:rPr>
      <w:rFonts w:ascii="Calibri" w:eastAsia="宋体" w:cs="Calibri" w:hAnsi="Calibri"/>
      <w:kern w:val="2"/>
      <w:sz w:val="21"/>
      <w:szCs w:val="21"/>
      <w:lang w:val="en-US" w:eastAsia="zh-CN" w:bidi="ar-SA"/>
    </w:rPr>
  </w:style>
  <w:style w:type="paragraph" w:customStyle="1" w:styleId="214">
    <w:name w:val="样式 184 10 磅"/>
    <w:pPr>
      <w:widowControl w:val="0"/>
      <w:jc w:val="both"/>
    </w:pPr>
    <w:rPr>
      <w:rFonts w:ascii="Calibri" w:eastAsia="宋体" w:cs="Calibri" w:hAnsi="Calibri"/>
      <w:kern w:val="2"/>
      <w:sz w:val="21"/>
      <w:szCs w:val="21"/>
      <w:lang w:val="en-US" w:eastAsia="zh-CN" w:bidi="ar-SA"/>
    </w:rPr>
  </w:style>
  <w:style w:type="paragraph" w:customStyle="1" w:styleId="215">
    <w:name w:val="样式 185 10 磅"/>
    <w:pPr>
      <w:widowControl w:val="0"/>
      <w:jc w:val="both"/>
    </w:pPr>
    <w:rPr>
      <w:rFonts w:ascii="Calibri" w:eastAsia="宋体" w:cs="Calibri" w:hAnsi="Calibri"/>
      <w:kern w:val="2"/>
      <w:sz w:val="21"/>
      <w:szCs w:val="21"/>
      <w:lang w:val="en-US" w:eastAsia="zh-CN" w:bidi="ar-SA"/>
    </w:rPr>
  </w:style>
  <w:style w:type="paragraph" w:customStyle="1" w:styleId="216">
    <w:name w:val="样式 186 10 磅"/>
    <w:pPr>
      <w:widowControl w:val="0"/>
      <w:jc w:val="both"/>
    </w:pPr>
    <w:rPr>
      <w:rFonts w:ascii="Calibri" w:eastAsia="宋体" w:cs="Calibri" w:hAnsi="Calibri"/>
      <w:kern w:val="2"/>
      <w:sz w:val="21"/>
      <w:szCs w:val="21"/>
      <w:lang w:val="en-US" w:eastAsia="zh-CN" w:bidi="ar-SA"/>
    </w:rPr>
  </w:style>
  <w:style w:type="paragraph" w:customStyle="1" w:styleId="217">
    <w:name w:val="样式 187 10 磅"/>
    <w:pPr>
      <w:widowControl w:val="0"/>
      <w:jc w:val="both"/>
    </w:pPr>
    <w:rPr>
      <w:rFonts w:ascii="Calibri" w:eastAsia="宋体" w:cs="Calibri" w:hAnsi="Calibri"/>
      <w:kern w:val="2"/>
      <w:sz w:val="21"/>
      <w:szCs w:val="21"/>
      <w:lang w:val="en-US" w:eastAsia="zh-CN" w:bidi="ar-SA"/>
    </w:rPr>
  </w:style>
  <w:style w:type="paragraph" w:customStyle="1" w:styleId="218">
    <w:name w:val="样式 188 10 磅"/>
    <w:pPr>
      <w:widowControl w:val="0"/>
      <w:jc w:val="both"/>
    </w:pPr>
    <w:rPr>
      <w:rFonts w:ascii="Calibri" w:eastAsia="宋体" w:cs="Calibri" w:hAnsi="Calibri"/>
      <w:kern w:val="2"/>
      <w:sz w:val="21"/>
      <w:szCs w:val="21"/>
      <w:lang w:val="en-US" w:eastAsia="zh-CN" w:bidi="ar-SA"/>
    </w:rPr>
  </w:style>
  <w:style w:type="paragraph" w:customStyle="1" w:styleId="219">
    <w:name w:val="样式 189 10 磅"/>
    <w:pPr>
      <w:widowControl w:val="0"/>
      <w:jc w:val="both"/>
    </w:pPr>
    <w:rPr>
      <w:rFonts w:ascii="Calibri" w:eastAsia="宋体" w:cs="Calibri" w:hAnsi="Calibri"/>
      <w:kern w:val="2"/>
      <w:sz w:val="21"/>
      <w:szCs w:val="21"/>
      <w:lang w:val="en-US" w:eastAsia="zh-CN" w:bidi="ar-SA"/>
    </w:rPr>
  </w:style>
  <w:style w:type="paragraph" w:customStyle="1" w:styleId="220">
    <w:name w:val="样式 190 10 磅"/>
    <w:pPr>
      <w:widowControl w:val="0"/>
      <w:jc w:val="both"/>
    </w:pPr>
    <w:rPr>
      <w:rFonts w:ascii="Calibri" w:eastAsia="宋体" w:cs="Calibri" w:hAnsi="Calibri"/>
      <w:kern w:val="2"/>
      <w:sz w:val="21"/>
      <w:szCs w:val="21"/>
      <w:lang w:val="en-US" w:eastAsia="zh-CN" w:bidi="ar-SA"/>
    </w:rPr>
  </w:style>
  <w:style w:type="paragraph" w:customStyle="1" w:styleId="221">
    <w:name w:val="样式 191 10 磅"/>
    <w:pPr>
      <w:widowControl w:val="0"/>
      <w:jc w:val="both"/>
    </w:pPr>
    <w:rPr>
      <w:rFonts w:ascii="Calibri" w:eastAsia="宋体" w:cs="Calibri" w:hAnsi="Calibri"/>
      <w:kern w:val="2"/>
      <w:sz w:val="21"/>
      <w:szCs w:val="21"/>
      <w:lang w:val="en-US" w:eastAsia="zh-CN" w:bidi="ar-SA"/>
    </w:rPr>
  </w:style>
  <w:style w:type="paragraph" w:customStyle="1" w:styleId="222">
    <w:name w:val="样式 192 10 磅"/>
    <w:pPr>
      <w:widowControl w:val="0"/>
      <w:jc w:val="both"/>
    </w:pPr>
    <w:rPr>
      <w:rFonts w:ascii="Calibri" w:eastAsia="宋体" w:cs="Calibri" w:hAnsi="Calibri"/>
      <w:kern w:val="2"/>
      <w:sz w:val="21"/>
      <w:szCs w:val="21"/>
      <w:lang w:val="en-US" w:eastAsia="zh-CN" w:bidi="ar-SA"/>
    </w:rPr>
  </w:style>
  <w:style w:type="paragraph" w:customStyle="1" w:styleId="223">
    <w:name w:val="样式 193 10 磅"/>
    <w:pPr>
      <w:widowControl w:val="0"/>
      <w:jc w:val="both"/>
    </w:pPr>
    <w:rPr>
      <w:rFonts w:ascii="Calibri" w:eastAsia="宋体" w:cs="Calibri" w:hAnsi="Calibri"/>
      <w:kern w:val="2"/>
      <w:sz w:val="21"/>
      <w:szCs w:val="21"/>
      <w:lang w:val="en-US" w:eastAsia="zh-CN" w:bidi="ar-SA"/>
    </w:rPr>
  </w:style>
  <w:style w:type="paragraph" w:customStyle="1" w:styleId="224">
    <w:name w:val="样式 194 10 磅"/>
    <w:pPr>
      <w:widowControl w:val="0"/>
      <w:jc w:val="both"/>
    </w:pPr>
    <w:rPr>
      <w:rFonts w:ascii="Calibri" w:eastAsia="宋体" w:cs="Calibri" w:hAnsi="Calibri"/>
      <w:kern w:val="2"/>
      <w:sz w:val="21"/>
      <w:szCs w:val="21"/>
      <w:lang w:val="en-US" w:eastAsia="zh-CN" w:bidi="ar-SA"/>
    </w:rPr>
  </w:style>
  <w:style w:type="paragraph" w:customStyle="1" w:styleId="225">
    <w:name w:val="样式 195 10 磅"/>
    <w:pPr>
      <w:widowControl w:val="0"/>
      <w:jc w:val="both"/>
    </w:pPr>
    <w:rPr>
      <w:rFonts w:ascii="Calibri" w:eastAsia="宋体" w:cs="Calibri" w:hAnsi="Calibri"/>
      <w:kern w:val="2"/>
      <w:sz w:val="21"/>
      <w:szCs w:val="21"/>
      <w:lang w:val="en-US" w:eastAsia="zh-CN" w:bidi="ar-SA"/>
    </w:rPr>
  </w:style>
  <w:style w:type="paragraph" w:customStyle="1" w:styleId="226">
    <w:name w:val="样式 196 10 磅"/>
    <w:pPr>
      <w:widowControl w:val="0"/>
      <w:jc w:val="both"/>
    </w:pPr>
    <w:rPr>
      <w:rFonts w:ascii="Calibri" w:eastAsia="宋体" w:cs="Calibri" w:hAnsi="Calibri"/>
      <w:kern w:val="2"/>
      <w:sz w:val="21"/>
      <w:szCs w:val="21"/>
      <w:lang w:val="en-US" w:eastAsia="zh-CN" w:bidi="ar-SA"/>
    </w:rPr>
  </w:style>
  <w:style w:type="paragraph" w:customStyle="1" w:styleId="227">
    <w:name w:val="样式 197 10 磅"/>
    <w:pPr>
      <w:widowControl w:val="0"/>
      <w:jc w:val="both"/>
    </w:pPr>
    <w:rPr>
      <w:rFonts w:ascii="Calibri" w:eastAsia="宋体" w:cs="Calibri" w:hAnsi="Calibri"/>
      <w:kern w:val="2"/>
      <w:sz w:val="21"/>
      <w:szCs w:val="21"/>
      <w:lang w:val="en-US" w:eastAsia="zh-CN" w:bidi="ar-SA"/>
    </w:rPr>
  </w:style>
  <w:style w:type="paragraph" w:customStyle="1" w:styleId="228">
    <w:name w:val="样式 198 10 磅"/>
    <w:pPr>
      <w:widowControl w:val="0"/>
      <w:jc w:val="both"/>
    </w:pPr>
    <w:rPr>
      <w:rFonts w:ascii="Calibri" w:eastAsia="宋体" w:cs="Calibri" w:hAnsi="Calibri"/>
      <w:kern w:val="2"/>
      <w:sz w:val="21"/>
      <w:szCs w:val="21"/>
      <w:lang w:val="en-US" w:eastAsia="zh-CN" w:bidi="ar-SA"/>
    </w:rPr>
  </w:style>
  <w:style w:type="paragraph" w:customStyle="1" w:styleId="229">
    <w:name w:val="样式 199 10 磅"/>
    <w:pPr>
      <w:widowControl w:val="0"/>
      <w:jc w:val="both"/>
    </w:pPr>
    <w:rPr>
      <w:rFonts w:ascii="Calibri" w:eastAsia="宋体" w:cs="Calibri" w:hAnsi="Calibri"/>
      <w:kern w:val="2"/>
      <w:sz w:val="21"/>
      <w:szCs w:val="21"/>
      <w:lang w:val="en-US" w:eastAsia="zh-CN" w:bidi="ar-SA"/>
    </w:rPr>
  </w:style>
  <w:style w:type="paragraph" w:customStyle="1" w:styleId="230">
    <w:name w:val="样式 200 10 磅"/>
    <w:pPr>
      <w:widowControl w:val="0"/>
      <w:jc w:val="both"/>
    </w:pPr>
    <w:rPr>
      <w:rFonts w:ascii="Calibri" w:eastAsia="宋体" w:cs="Calibri" w:hAnsi="Calibri"/>
      <w:kern w:val="2"/>
      <w:sz w:val="21"/>
      <w:szCs w:val="21"/>
      <w:lang w:val="en-US" w:eastAsia="zh-CN" w:bidi="ar-SA"/>
    </w:rPr>
  </w:style>
  <w:style w:type="paragraph" w:customStyle="1" w:styleId="231">
    <w:name w:val="样式 201 10 磅"/>
    <w:pPr>
      <w:widowControl w:val="0"/>
      <w:jc w:val="both"/>
    </w:pPr>
    <w:rPr>
      <w:rFonts w:ascii="Calibri" w:eastAsia="宋体" w:cs="Calibri" w:hAnsi="Calibri"/>
      <w:kern w:val="2"/>
      <w:sz w:val="21"/>
      <w:szCs w:val="21"/>
      <w:lang w:val="en-US" w:eastAsia="zh-CN" w:bidi="ar-SA"/>
    </w:rPr>
  </w:style>
  <w:style w:type="paragraph" w:customStyle="1" w:styleId="232">
    <w:name w:val="样式 202 10 磅"/>
    <w:pPr>
      <w:widowControl w:val="0"/>
      <w:jc w:val="both"/>
    </w:pPr>
    <w:rPr>
      <w:rFonts w:ascii="Calibri" w:eastAsia="宋体" w:cs="Calibri" w:hAnsi="Calibri"/>
      <w:kern w:val="2"/>
      <w:sz w:val="21"/>
      <w:szCs w:val="21"/>
      <w:lang w:val="en-US" w:eastAsia="zh-CN" w:bidi="ar-SA"/>
    </w:rPr>
  </w:style>
  <w:style w:type="paragraph" w:customStyle="1" w:styleId="233">
    <w:name w:val="样式 203 10 磅"/>
    <w:pPr>
      <w:widowControl w:val="0"/>
      <w:jc w:val="both"/>
    </w:pPr>
    <w:rPr>
      <w:rFonts w:ascii="Calibri" w:eastAsia="宋体" w:cs="Calibri" w:hAnsi="Calibri"/>
      <w:kern w:val="2"/>
      <w:sz w:val="21"/>
      <w:szCs w:val="21"/>
      <w:lang w:val="en-US" w:eastAsia="zh-CN" w:bidi="ar-SA"/>
    </w:rPr>
  </w:style>
  <w:style w:type="paragraph" w:customStyle="1" w:styleId="234">
    <w:name w:val="样式 204 10 磅"/>
    <w:pPr>
      <w:widowControl w:val="0"/>
      <w:jc w:val="both"/>
    </w:pPr>
    <w:rPr>
      <w:rFonts w:ascii="Calibri" w:eastAsia="宋体" w:cs="Calibri" w:hAnsi="Calibri"/>
      <w:kern w:val="2"/>
      <w:sz w:val="21"/>
      <w:szCs w:val="21"/>
      <w:lang w:val="en-US" w:eastAsia="zh-CN" w:bidi="ar-SA"/>
    </w:rPr>
  </w:style>
  <w:style w:type="paragraph" w:customStyle="1" w:styleId="235">
    <w:name w:val="样式 205 10 磅"/>
    <w:pPr>
      <w:widowControl w:val="0"/>
      <w:jc w:val="both"/>
    </w:pPr>
    <w:rPr>
      <w:rFonts w:ascii="Calibri" w:eastAsia="宋体" w:cs="Calibri" w:hAnsi="Calibri"/>
      <w:kern w:val="2"/>
      <w:sz w:val="21"/>
      <w:szCs w:val="21"/>
      <w:lang w:val="en-US" w:eastAsia="zh-CN" w:bidi="ar-SA"/>
    </w:rPr>
  </w:style>
  <w:style w:type="paragraph" w:customStyle="1" w:styleId="236">
    <w:name w:val="样式 206 10 磅"/>
    <w:pPr>
      <w:widowControl w:val="0"/>
      <w:jc w:val="both"/>
    </w:pPr>
    <w:rPr>
      <w:rFonts w:ascii="Calibri" w:eastAsia="宋体" w:cs="Calibri" w:hAnsi="Calibri"/>
      <w:kern w:val="2"/>
      <w:sz w:val="21"/>
      <w:szCs w:val="21"/>
      <w:lang w:val="en-US" w:eastAsia="zh-CN" w:bidi="ar-SA"/>
    </w:rPr>
  </w:style>
  <w:style w:type="paragraph" w:customStyle="1" w:styleId="237">
    <w:name w:val="样式 207 10 磅"/>
    <w:pPr>
      <w:widowControl w:val="0"/>
      <w:jc w:val="both"/>
    </w:pPr>
    <w:rPr>
      <w:rFonts w:ascii="Calibri" w:eastAsia="宋体" w:cs="Calibri" w:hAnsi="Calibri"/>
      <w:kern w:val="2"/>
      <w:sz w:val="21"/>
      <w:szCs w:val="21"/>
      <w:lang w:val="en-US" w:eastAsia="zh-CN" w:bidi="ar-SA"/>
    </w:rPr>
  </w:style>
  <w:style w:type="paragraph" w:customStyle="1" w:styleId="238">
    <w:name w:val="样式 208 10 磅"/>
    <w:pPr>
      <w:widowControl w:val="0"/>
      <w:jc w:val="both"/>
    </w:pPr>
    <w:rPr>
      <w:rFonts w:ascii="Calibri" w:eastAsia="宋体" w:cs="Calibri" w:hAnsi="Calibri"/>
      <w:kern w:val="2"/>
      <w:sz w:val="21"/>
      <w:szCs w:val="21"/>
      <w:lang w:val="en-US" w:eastAsia="zh-CN" w:bidi="ar-SA"/>
    </w:rPr>
  </w:style>
  <w:style w:type="paragraph" w:customStyle="1" w:styleId="239">
    <w:name w:val="样式 209 10 磅"/>
    <w:pPr>
      <w:widowControl w:val="0"/>
      <w:jc w:val="both"/>
    </w:pPr>
    <w:rPr>
      <w:rFonts w:ascii="Calibri" w:eastAsia="宋体" w:cs="Calibri" w:hAnsi="Calibri"/>
      <w:kern w:val="2"/>
      <w:sz w:val="21"/>
      <w:szCs w:val="21"/>
      <w:lang w:val="en-US" w:eastAsia="zh-CN" w:bidi="ar-SA"/>
    </w:rPr>
  </w:style>
  <w:style w:type="paragraph" w:customStyle="1" w:styleId="240">
    <w:name w:val="样式 210 10 磅"/>
    <w:pPr>
      <w:widowControl w:val="0"/>
      <w:jc w:val="both"/>
    </w:pPr>
    <w:rPr>
      <w:rFonts w:ascii="Calibri" w:eastAsia="宋体" w:cs="Calibri" w:hAnsi="Calibri"/>
      <w:kern w:val="2"/>
      <w:sz w:val="21"/>
      <w:szCs w:val="21"/>
      <w:lang w:val="en-US" w:eastAsia="zh-CN" w:bidi="ar-SA"/>
    </w:rPr>
  </w:style>
  <w:style w:type="paragraph" w:customStyle="1" w:styleId="241">
    <w:name w:val="样式 211 10 磅"/>
    <w:pPr>
      <w:widowControl w:val="0"/>
      <w:jc w:val="both"/>
    </w:pPr>
    <w:rPr>
      <w:rFonts w:ascii="Calibri" w:eastAsia="宋体" w:cs="Calibri" w:hAnsi="Calibri"/>
      <w:kern w:val="2"/>
      <w:sz w:val="21"/>
      <w:szCs w:val="21"/>
      <w:lang w:val="en-US" w:eastAsia="zh-CN" w:bidi="ar-SA"/>
    </w:rPr>
  </w:style>
  <w:style w:type="paragraph" w:customStyle="1" w:styleId="242">
    <w:name w:val="样式 212 10 磅"/>
    <w:pPr>
      <w:widowControl w:val="0"/>
      <w:jc w:val="both"/>
    </w:pPr>
    <w:rPr>
      <w:rFonts w:ascii="Calibri" w:eastAsia="宋体" w:cs="Calibri" w:hAnsi="Calibri"/>
      <w:kern w:val="2"/>
      <w:sz w:val="21"/>
      <w:szCs w:val="21"/>
      <w:lang w:val="en-US" w:eastAsia="zh-CN" w:bidi="ar-SA"/>
    </w:rPr>
  </w:style>
  <w:style w:type="paragraph" w:customStyle="1" w:styleId="243">
    <w:name w:val="样式 213 10 磅"/>
    <w:pPr>
      <w:widowControl w:val="0"/>
      <w:jc w:val="both"/>
    </w:pPr>
    <w:rPr>
      <w:rFonts w:ascii="Calibri" w:eastAsia="宋体" w:cs="Calibri" w:hAnsi="Calibri"/>
      <w:kern w:val="2"/>
      <w:sz w:val="21"/>
      <w:szCs w:val="21"/>
      <w:lang w:val="en-US" w:eastAsia="zh-CN" w:bidi="ar-SA"/>
    </w:rPr>
  </w:style>
  <w:style w:type="paragraph" w:customStyle="1" w:styleId="244">
    <w:name w:val="样式 214 10 磅"/>
    <w:pPr>
      <w:widowControl w:val="0"/>
      <w:jc w:val="both"/>
    </w:pPr>
    <w:rPr>
      <w:rFonts w:ascii="Calibri" w:eastAsia="宋体" w:cs="Calibri" w:hAnsi="Calibri"/>
      <w:kern w:val="2"/>
      <w:sz w:val="21"/>
      <w:szCs w:val="21"/>
      <w:lang w:val="en-US" w:eastAsia="zh-CN" w:bidi="ar-SA"/>
    </w:rPr>
  </w:style>
  <w:style w:type="paragraph" w:customStyle="1" w:styleId="245">
    <w:name w:val="样式 215 10 磅"/>
    <w:pPr>
      <w:widowControl w:val="0"/>
      <w:jc w:val="both"/>
    </w:pPr>
    <w:rPr>
      <w:rFonts w:ascii="Calibri" w:eastAsia="宋体" w:cs="Calibri" w:hAnsi="Calibri"/>
      <w:kern w:val="2"/>
      <w:sz w:val="21"/>
      <w:szCs w:val="21"/>
      <w:lang w:val="en-US" w:eastAsia="zh-CN" w:bidi="ar-SA"/>
    </w:rPr>
  </w:style>
  <w:style w:type="paragraph" w:customStyle="1" w:styleId="246">
    <w:name w:val="样式 216 10 磅"/>
    <w:pPr>
      <w:widowControl w:val="0"/>
      <w:jc w:val="both"/>
    </w:pPr>
    <w:rPr>
      <w:rFonts w:ascii="Calibri" w:eastAsia="宋体" w:cs="Calibri" w:hAnsi="Calibri"/>
      <w:kern w:val="2"/>
      <w:sz w:val="21"/>
      <w:szCs w:val="21"/>
      <w:lang w:val="en-US" w:eastAsia="zh-CN" w:bidi="ar-SA"/>
    </w:rPr>
  </w:style>
  <w:style w:type="paragraph" w:customStyle="1" w:styleId="247">
    <w:name w:val="样式 217 10 磅"/>
    <w:pPr>
      <w:widowControl w:val="0"/>
      <w:jc w:val="both"/>
    </w:pPr>
    <w:rPr>
      <w:rFonts w:ascii="Calibri" w:eastAsia="宋体" w:cs="Calibri" w:hAnsi="Calibri"/>
      <w:kern w:val="2"/>
      <w:sz w:val="21"/>
      <w:szCs w:val="21"/>
      <w:lang w:val="en-US" w:eastAsia="zh-CN" w:bidi="ar-SA"/>
    </w:rPr>
  </w:style>
  <w:style w:type="paragraph" w:customStyle="1" w:styleId="248">
    <w:name w:val="样式 218 10 磅"/>
    <w:pPr>
      <w:widowControl w:val="0"/>
      <w:jc w:val="both"/>
    </w:pPr>
    <w:rPr>
      <w:rFonts w:ascii="Calibri" w:eastAsia="宋体" w:cs="Calibri" w:hAnsi="Calibri"/>
      <w:kern w:val="2"/>
      <w:sz w:val="21"/>
      <w:szCs w:val="21"/>
      <w:lang w:val="en-US" w:eastAsia="zh-CN" w:bidi="ar-SA"/>
    </w:rPr>
  </w:style>
  <w:style w:type="paragraph" w:customStyle="1" w:styleId="249">
    <w:name w:val="样式 219 10 磅"/>
    <w:pPr>
      <w:widowControl w:val="0"/>
      <w:jc w:val="both"/>
    </w:pPr>
    <w:rPr>
      <w:rFonts w:ascii="Calibri" w:eastAsia="宋体" w:cs="Calibri" w:hAnsi="Calibri"/>
      <w:kern w:val="2"/>
      <w:sz w:val="21"/>
      <w:szCs w:val="21"/>
      <w:lang w:val="en-US" w:eastAsia="zh-CN" w:bidi="ar-SA"/>
    </w:rPr>
  </w:style>
  <w:style w:type="paragraph" w:customStyle="1" w:styleId="250">
    <w:name w:val="样式 220 10 磅"/>
    <w:pPr>
      <w:widowControl w:val="0"/>
      <w:jc w:val="both"/>
    </w:pPr>
    <w:rPr>
      <w:rFonts w:ascii="Calibri" w:eastAsia="宋体" w:cs="Calibri" w:hAnsi="Calibri"/>
      <w:kern w:val="2"/>
      <w:sz w:val="21"/>
      <w:szCs w:val="21"/>
      <w:lang w:val="en-US" w:eastAsia="zh-CN" w:bidi="ar-SA"/>
    </w:rPr>
  </w:style>
  <w:style w:type="paragraph" w:customStyle="1" w:styleId="251">
    <w:name w:val="样式 221 10 磅"/>
    <w:pPr>
      <w:widowControl w:val="0"/>
      <w:jc w:val="both"/>
    </w:pPr>
    <w:rPr>
      <w:rFonts w:ascii="Calibri" w:eastAsia="宋体" w:cs="Calibri" w:hAnsi="Calibri"/>
      <w:kern w:val="2"/>
      <w:sz w:val="21"/>
      <w:szCs w:val="21"/>
      <w:lang w:val="en-US" w:eastAsia="zh-CN" w:bidi="ar-SA"/>
    </w:rPr>
  </w:style>
  <w:style w:type="paragraph" w:customStyle="1" w:styleId="252">
    <w:name w:val="样式 222 10 磅"/>
    <w:pPr>
      <w:widowControl w:val="0"/>
      <w:jc w:val="both"/>
    </w:pPr>
    <w:rPr>
      <w:rFonts w:ascii="Calibri" w:eastAsia="宋体" w:cs="Calibri" w:hAnsi="Calibri"/>
      <w:kern w:val="2"/>
      <w:sz w:val="21"/>
      <w:szCs w:val="21"/>
      <w:lang w:val="en-US" w:eastAsia="zh-CN" w:bidi="ar-SA"/>
    </w:rPr>
  </w:style>
  <w:style w:type="paragraph" w:customStyle="1" w:styleId="253">
    <w:name w:val="样式 223 10 磅"/>
    <w:pPr>
      <w:widowControl w:val="0"/>
      <w:jc w:val="both"/>
    </w:pPr>
    <w:rPr>
      <w:rFonts w:ascii="Calibri" w:eastAsia="宋体" w:cs="Calibri" w:hAnsi="Calibri"/>
      <w:kern w:val="2"/>
      <w:sz w:val="21"/>
      <w:szCs w:val="21"/>
      <w:lang w:val="en-US" w:eastAsia="zh-CN" w:bidi="ar-SA"/>
    </w:rPr>
  </w:style>
  <w:style w:type="paragraph" w:customStyle="1" w:styleId="254">
    <w:name w:val="样式 224 10 磅"/>
    <w:pPr>
      <w:widowControl w:val="0"/>
      <w:jc w:val="both"/>
    </w:pPr>
    <w:rPr>
      <w:rFonts w:ascii="Calibri" w:eastAsia="宋体" w:cs="Calibri" w:hAnsi="Calibri"/>
      <w:kern w:val="2"/>
      <w:sz w:val="21"/>
      <w:szCs w:val="21"/>
      <w:lang w:val="en-US" w:eastAsia="zh-CN" w:bidi="ar-SA"/>
    </w:rPr>
  </w:style>
  <w:style w:type="paragraph" w:customStyle="1" w:styleId="255">
    <w:name w:val="样式 225 10 磅"/>
    <w:pPr>
      <w:widowControl w:val="0"/>
      <w:jc w:val="both"/>
    </w:pPr>
    <w:rPr>
      <w:rFonts w:ascii="Calibri" w:eastAsia="宋体" w:cs="Calibri" w:hAnsi="Calibri"/>
      <w:kern w:val="2"/>
      <w:sz w:val="21"/>
      <w:szCs w:val="21"/>
      <w:lang w:val="en-US" w:eastAsia="zh-CN" w:bidi="ar-SA"/>
    </w:rPr>
  </w:style>
  <w:style w:type="paragraph" w:customStyle="1" w:styleId="256">
    <w:name w:val="样式 226 10 磅"/>
    <w:pPr>
      <w:widowControl w:val="0"/>
      <w:jc w:val="both"/>
    </w:pPr>
    <w:rPr>
      <w:rFonts w:ascii="Calibri" w:eastAsia="宋体" w:cs="Calibri" w:hAnsi="Calibri"/>
      <w:kern w:val="2"/>
      <w:sz w:val="21"/>
      <w:szCs w:val="21"/>
      <w:lang w:val="en-US" w:eastAsia="zh-CN" w:bidi="ar-SA"/>
    </w:rPr>
  </w:style>
  <w:style w:type="paragraph" w:customStyle="1" w:styleId="257">
    <w:name w:val="样式 227 10 磅"/>
    <w:pPr>
      <w:widowControl w:val="0"/>
      <w:jc w:val="both"/>
    </w:pPr>
    <w:rPr>
      <w:rFonts w:ascii="Calibri" w:eastAsia="宋体" w:cs="Calibri" w:hAnsi="Calibri"/>
      <w:kern w:val="2"/>
      <w:sz w:val="21"/>
      <w:szCs w:val="21"/>
      <w:lang w:val="en-US" w:eastAsia="zh-CN" w:bidi="ar-SA"/>
    </w:rPr>
  </w:style>
  <w:style w:type="paragraph" w:customStyle="1" w:styleId="258">
    <w:name w:val="样式 228 10 磅"/>
    <w:pPr>
      <w:widowControl w:val="0"/>
      <w:jc w:val="both"/>
    </w:pPr>
    <w:rPr>
      <w:rFonts w:ascii="Calibri" w:eastAsia="宋体" w:cs="Calibri" w:hAnsi="Calibri"/>
      <w:kern w:val="2"/>
      <w:sz w:val="21"/>
      <w:szCs w:val="21"/>
      <w:lang w:val="en-US" w:eastAsia="zh-CN" w:bidi="ar-SA"/>
    </w:rPr>
  </w:style>
  <w:style w:type="paragraph" w:customStyle="1" w:styleId="259">
    <w:name w:val="样式 229 10 磅"/>
    <w:pPr>
      <w:widowControl w:val="0"/>
      <w:jc w:val="both"/>
    </w:pPr>
    <w:rPr>
      <w:rFonts w:ascii="Calibri" w:eastAsia="宋体" w:cs="Calibri" w:hAnsi="Calibri"/>
      <w:kern w:val="2"/>
      <w:sz w:val="21"/>
      <w:szCs w:val="21"/>
      <w:lang w:val="en-US" w:eastAsia="zh-CN" w:bidi="ar-SA"/>
    </w:rPr>
  </w:style>
  <w:style w:type="paragraph" w:customStyle="1" w:styleId="260">
    <w:name w:val="样式 230 10 磅"/>
    <w:pPr>
      <w:widowControl w:val="0"/>
      <w:jc w:val="both"/>
    </w:pPr>
    <w:rPr>
      <w:rFonts w:ascii="Calibri" w:eastAsia="宋体" w:cs="Calibri" w:hAnsi="Calibri"/>
      <w:kern w:val="2"/>
      <w:sz w:val="21"/>
      <w:szCs w:val="21"/>
      <w:lang w:val="en-US" w:eastAsia="zh-CN" w:bidi="ar-SA"/>
    </w:rPr>
  </w:style>
  <w:style w:type="paragraph" w:customStyle="1" w:styleId="261">
    <w:name w:val="样式 231 10 磅"/>
    <w:pPr>
      <w:widowControl w:val="0"/>
      <w:jc w:val="both"/>
    </w:pPr>
    <w:rPr>
      <w:rFonts w:ascii="Calibri" w:eastAsia="宋体" w:cs="Calibri" w:hAnsi="Calibri"/>
      <w:kern w:val="2"/>
      <w:sz w:val="21"/>
      <w:szCs w:val="21"/>
      <w:lang w:val="en-US" w:eastAsia="zh-CN" w:bidi="ar-SA"/>
    </w:rPr>
  </w:style>
  <w:style w:type="paragraph" w:customStyle="1" w:styleId="262">
    <w:name w:val="样式 232 10 磅"/>
    <w:pPr>
      <w:widowControl w:val="0"/>
      <w:jc w:val="both"/>
    </w:pPr>
    <w:rPr>
      <w:rFonts w:ascii="Calibri" w:eastAsia="宋体" w:cs="Calibri" w:hAnsi="Calibri"/>
      <w:kern w:val="2"/>
      <w:sz w:val="21"/>
      <w:szCs w:val="21"/>
      <w:lang w:val="en-US" w:eastAsia="zh-CN" w:bidi="ar-SA"/>
    </w:rPr>
  </w:style>
  <w:style w:type="paragraph" w:customStyle="1" w:styleId="263">
    <w:name w:val="样式 233 10 磅"/>
    <w:pPr>
      <w:widowControl w:val="0"/>
      <w:jc w:val="both"/>
    </w:pPr>
    <w:rPr>
      <w:rFonts w:ascii="Calibri" w:eastAsia="宋体" w:cs="Calibri" w:hAnsi="Calibri"/>
      <w:kern w:val="2"/>
      <w:sz w:val="21"/>
      <w:szCs w:val="21"/>
      <w:lang w:val="en-US" w:eastAsia="zh-CN" w:bidi="ar-SA"/>
    </w:rPr>
  </w:style>
  <w:style w:type="paragraph" w:customStyle="1" w:styleId="264">
    <w:name w:val="样式 234 10 磅"/>
    <w:pPr>
      <w:widowControl w:val="0"/>
      <w:jc w:val="both"/>
    </w:pPr>
    <w:rPr>
      <w:rFonts w:ascii="Calibri" w:eastAsia="宋体" w:cs="Calibri" w:hAnsi="Calibri"/>
      <w:kern w:val="2"/>
      <w:sz w:val="21"/>
      <w:szCs w:val="21"/>
      <w:lang w:val="en-US" w:eastAsia="zh-CN" w:bidi="ar-SA"/>
    </w:rPr>
  </w:style>
  <w:style w:type="paragraph" w:customStyle="1" w:styleId="265">
    <w:name w:val="样式 235 10 磅"/>
    <w:pPr>
      <w:widowControl w:val="0"/>
      <w:jc w:val="both"/>
    </w:pPr>
    <w:rPr>
      <w:rFonts w:ascii="Calibri" w:eastAsia="宋体" w:cs="Calibri" w:hAnsi="Calibri"/>
      <w:kern w:val="2"/>
      <w:sz w:val="21"/>
      <w:szCs w:val="21"/>
      <w:lang w:val="en-US" w:eastAsia="zh-CN" w:bidi="ar-SA"/>
    </w:rPr>
  </w:style>
  <w:style w:type="paragraph" w:customStyle="1" w:styleId="266">
    <w:name w:val="样式 236 10 磅"/>
    <w:pPr>
      <w:widowControl w:val="0"/>
      <w:jc w:val="both"/>
    </w:pPr>
    <w:rPr>
      <w:rFonts w:ascii="Calibri" w:eastAsia="宋体" w:cs="Calibri" w:hAnsi="Calibri"/>
      <w:kern w:val="2"/>
      <w:sz w:val="21"/>
      <w:szCs w:val="21"/>
      <w:lang w:val="en-US" w:eastAsia="zh-CN" w:bidi="ar-SA"/>
    </w:rPr>
  </w:style>
  <w:style w:type="paragraph" w:customStyle="1" w:styleId="267">
    <w:name w:val="样式 237 10 磅"/>
    <w:pPr>
      <w:widowControl w:val="0"/>
      <w:jc w:val="both"/>
    </w:pPr>
    <w:rPr>
      <w:rFonts w:ascii="Calibri" w:eastAsia="宋体" w:cs="Calibri" w:hAnsi="Calibri"/>
      <w:kern w:val="2"/>
      <w:sz w:val="21"/>
      <w:szCs w:val="21"/>
      <w:lang w:val="en-US" w:eastAsia="zh-CN" w:bidi="ar-SA"/>
    </w:rPr>
  </w:style>
  <w:style w:type="paragraph" w:customStyle="1" w:styleId="268">
    <w:name w:val="样式 238 10 磅"/>
    <w:pPr>
      <w:widowControl w:val="0"/>
      <w:jc w:val="both"/>
    </w:pPr>
    <w:rPr>
      <w:rFonts w:ascii="Calibri" w:eastAsia="宋体" w:cs="Calibri" w:hAnsi="Calibri"/>
      <w:kern w:val="2"/>
      <w:sz w:val="21"/>
      <w:szCs w:val="21"/>
      <w:lang w:val="en-US" w:eastAsia="zh-CN" w:bidi="ar-SA"/>
    </w:rPr>
  </w:style>
  <w:style w:type="paragraph" w:customStyle="1" w:styleId="269">
    <w:name w:val="样式 239 10 磅"/>
    <w:pPr>
      <w:widowControl w:val="0"/>
      <w:jc w:val="both"/>
    </w:pPr>
    <w:rPr>
      <w:rFonts w:ascii="Calibri" w:eastAsia="宋体" w:cs="Calibri" w:hAnsi="Calibri"/>
      <w:kern w:val="2"/>
      <w:sz w:val="21"/>
      <w:szCs w:val="21"/>
      <w:lang w:val="en-US" w:eastAsia="zh-CN" w:bidi="ar-SA"/>
    </w:rPr>
  </w:style>
  <w:style w:type="paragraph" w:customStyle="1" w:styleId="270">
    <w:name w:val="样式 240 10 磅"/>
    <w:pPr>
      <w:widowControl w:val="0"/>
      <w:jc w:val="both"/>
    </w:pPr>
    <w:rPr>
      <w:rFonts w:ascii="Calibri" w:eastAsia="宋体" w:cs="Calibri" w:hAnsi="Calibri"/>
      <w:kern w:val="2"/>
      <w:sz w:val="21"/>
      <w:szCs w:val="21"/>
      <w:lang w:val="en-US" w:eastAsia="zh-CN" w:bidi="ar-SA"/>
    </w:rPr>
  </w:style>
  <w:style w:type="paragraph" w:customStyle="1" w:styleId="271">
    <w:name w:val="样式 241 10 磅"/>
    <w:pPr>
      <w:widowControl w:val="0"/>
      <w:jc w:val="both"/>
    </w:pPr>
    <w:rPr>
      <w:rFonts w:ascii="Calibri" w:eastAsia="宋体" w:cs="Calibri" w:hAnsi="Calibri"/>
      <w:kern w:val="2"/>
      <w:sz w:val="21"/>
      <w:szCs w:val="21"/>
      <w:lang w:val="en-US" w:eastAsia="zh-CN" w:bidi="ar-SA"/>
    </w:rPr>
  </w:style>
  <w:style w:type="paragraph" w:customStyle="1" w:styleId="272">
    <w:name w:val="样式 242 10 磅"/>
    <w:pPr>
      <w:widowControl w:val="0"/>
      <w:jc w:val="both"/>
    </w:pPr>
    <w:rPr>
      <w:rFonts w:ascii="Calibri" w:eastAsia="宋体" w:cs="Calibri" w:hAnsi="Calibri"/>
      <w:kern w:val="2"/>
      <w:sz w:val="21"/>
      <w:szCs w:val="21"/>
      <w:lang w:val="en-US" w:eastAsia="zh-CN" w:bidi="ar-SA"/>
    </w:rPr>
  </w:style>
  <w:style w:type="paragraph" w:customStyle="1" w:styleId="273">
    <w:name w:val="样式 243 10 磅"/>
    <w:pPr>
      <w:widowControl w:val="0"/>
      <w:jc w:val="both"/>
    </w:pPr>
    <w:rPr>
      <w:rFonts w:ascii="Calibri" w:eastAsia="宋体" w:cs="Calibri" w:hAnsi="Calibri"/>
      <w:kern w:val="2"/>
      <w:sz w:val="21"/>
      <w:szCs w:val="21"/>
      <w:lang w:val="en-US" w:eastAsia="zh-CN" w:bidi="ar-SA"/>
    </w:rPr>
  </w:style>
  <w:style w:type="paragraph" w:customStyle="1" w:styleId="274">
    <w:name w:val="样式 244 10 磅"/>
    <w:pPr>
      <w:widowControl w:val="0"/>
      <w:jc w:val="both"/>
    </w:pPr>
    <w:rPr>
      <w:rFonts w:ascii="Calibri" w:eastAsia="宋体" w:cs="Calibri" w:hAnsi="Calibri"/>
      <w:kern w:val="2"/>
      <w:sz w:val="21"/>
      <w:szCs w:val="21"/>
      <w:lang w:val="en-US" w:eastAsia="zh-CN" w:bidi="ar-SA"/>
    </w:rPr>
  </w:style>
  <w:style w:type="paragraph" w:customStyle="1" w:styleId="275">
    <w:name w:val="样式 245 10 磅"/>
    <w:pPr>
      <w:widowControl w:val="0"/>
      <w:jc w:val="both"/>
    </w:pPr>
    <w:rPr>
      <w:rFonts w:ascii="Calibri" w:eastAsia="宋体" w:cs="Calibri" w:hAnsi="Calibri"/>
      <w:kern w:val="2"/>
      <w:sz w:val="21"/>
      <w:szCs w:val="21"/>
      <w:lang w:val="en-US" w:eastAsia="zh-CN" w:bidi="ar-SA"/>
    </w:rPr>
  </w:style>
  <w:style w:type="paragraph" w:customStyle="1" w:styleId="276">
    <w:name w:val="样式 246 10 磅"/>
    <w:pPr>
      <w:widowControl w:val="0"/>
      <w:jc w:val="both"/>
    </w:pPr>
    <w:rPr>
      <w:rFonts w:ascii="Calibri" w:eastAsia="宋体" w:cs="Calibri" w:hAnsi="Calibri"/>
      <w:kern w:val="2"/>
      <w:sz w:val="21"/>
      <w:szCs w:val="21"/>
      <w:lang w:val="en-US" w:eastAsia="zh-CN" w:bidi="ar-SA"/>
    </w:rPr>
  </w:style>
  <w:style w:type="paragraph" w:customStyle="1" w:styleId="277">
    <w:name w:val="样式 247 10 磅"/>
    <w:pPr>
      <w:widowControl w:val="0"/>
      <w:jc w:val="both"/>
    </w:pPr>
    <w:rPr>
      <w:rFonts w:ascii="Calibri" w:eastAsia="宋体" w:cs="Calibri" w:hAnsi="Calibri"/>
      <w:kern w:val="2"/>
      <w:sz w:val="21"/>
      <w:szCs w:val="21"/>
      <w:lang w:val="en-US" w:eastAsia="zh-CN" w:bidi="ar-SA"/>
    </w:rPr>
  </w:style>
  <w:style w:type="paragraph" w:customStyle="1" w:styleId="278">
    <w:name w:val="样式 248 10 磅"/>
    <w:pPr>
      <w:widowControl w:val="0"/>
      <w:jc w:val="both"/>
    </w:pPr>
    <w:rPr>
      <w:rFonts w:ascii="Calibri" w:eastAsia="宋体" w:cs="Calibri" w:hAnsi="Calibri"/>
      <w:kern w:val="2"/>
      <w:sz w:val="21"/>
      <w:szCs w:val="21"/>
      <w:lang w:val="en-US" w:eastAsia="zh-CN" w:bidi="ar-SA"/>
    </w:rPr>
  </w:style>
  <w:style w:type="paragraph" w:customStyle="1" w:styleId="279">
    <w:name w:val="样式 249 10 磅"/>
    <w:pPr>
      <w:widowControl w:val="0"/>
      <w:jc w:val="both"/>
    </w:pPr>
    <w:rPr>
      <w:rFonts w:ascii="Calibri" w:eastAsia="宋体" w:cs="Calibri" w:hAnsi="Calibri"/>
      <w:kern w:val="2"/>
      <w:sz w:val="21"/>
      <w:szCs w:val="21"/>
      <w:lang w:val="en-US" w:eastAsia="zh-CN" w:bidi="ar-SA"/>
    </w:rPr>
  </w:style>
  <w:style w:type="paragraph" w:customStyle="1" w:styleId="280">
    <w:name w:val="样式 250 10 磅"/>
    <w:pPr>
      <w:widowControl w:val="0"/>
      <w:jc w:val="both"/>
    </w:pPr>
    <w:rPr>
      <w:rFonts w:ascii="Calibri" w:eastAsia="宋体" w:cs="Calibri" w:hAnsi="Calibri"/>
      <w:kern w:val="2"/>
      <w:sz w:val="21"/>
      <w:szCs w:val="21"/>
      <w:lang w:val="en-US" w:eastAsia="zh-CN" w:bidi="ar-SA"/>
    </w:rPr>
  </w:style>
  <w:style w:type="paragraph" w:customStyle="1" w:styleId="281">
    <w:name w:val="样式 251 10 磅"/>
    <w:pPr>
      <w:widowControl w:val="0"/>
      <w:jc w:val="both"/>
    </w:pPr>
    <w:rPr>
      <w:rFonts w:ascii="Calibri" w:eastAsia="宋体" w:cs="Calibri" w:hAnsi="Calibri"/>
      <w:kern w:val="2"/>
      <w:sz w:val="21"/>
      <w:szCs w:val="21"/>
      <w:lang w:val="en-US" w:eastAsia="zh-CN" w:bidi="ar-SA"/>
    </w:rPr>
  </w:style>
  <w:style w:type="paragraph" w:customStyle="1" w:styleId="282">
    <w:name w:val="样式 252 10 磅"/>
    <w:pPr>
      <w:widowControl w:val="0"/>
      <w:jc w:val="both"/>
    </w:pPr>
    <w:rPr>
      <w:rFonts w:ascii="Calibri" w:eastAsia="宋体" w:cs="Calibri" w:hAnsi="Calibri"/>
      <w:kern w:val="2"/>
      <w:sz w:val="21"/>
      <w:szCs w:val="21"/>
      <w:lang w:val="en-US" w:eastAsia="zh-CN" w:bidi="ar-SA"/>
    </w:rPr>
  </w:style>
  <w:style w:type="paragraph" w:customStyle="1" w:styleId="283">
    <w:name w:val="样式 253 10 磅"/>
    <w:pPr>
      <w:widowControl w:val="0"/>
      <w:jc w:val="both"/>
    </w:pPr>
    <w:rPr>
      <w:rFonts w:ascii="Calibri" w:eastAsia="宋体" w:cs="Calibri" w:hAnsi="Calibri"/>
      <w:kern w:val="2"/>
      <w:sz w:val="21"/>
      <w:szCs w:val="21"/>
      <w:lang w:val="en-US" w:eastAsia="zh-CN" w:bidi="ar-SA"/>
    </w:rPr>
  </w:style>
  <w:style w:type="paragraph" w:customStyle="1" w:styleId="284">
    <w:name w:val="样式 254 10 磅"/>
    <w:pPr>
      <w:widowControl w:val="0"/>
      <w:jc w:val="both"/>
    </w:pPr>
    <w:rPr>
      <w:rFonts w:ascii="Calibri" w:eastAsia="宋体" w:cs="Calibri" w:hAnsi="Calibri"/>
      <w:kern w:val="2"/>
      <w:sz w:val="21"/>
      <w:szCs w:val="21"/>
      <w:lang w:val="en-US" w:eastAsia="zh-CN" w:bidi="ar-SA"/>
    </w:rPr>
  </w:style>
  <w:style w:type="paragraph" w:customStyle="1" w:styleId="285">
    <w:name w:val="样式 255 10 磅"/>
    <w:pPr>
      <w:widowControl w:val="0"/>
      <w:jc w:val="both"/>
    </w:pPr>
    <w:rPr>
      <w:rFonts w:ascii="Calibri" w:eastAsia="宋体" w:cs="Calibri" w:hAnsi="Calibri"/>
      <w:kern w:val="2"/>
      <w:sz w:val="21"/>
      <w:szCs w:val="21"/>
      <w:lang w:val="en-US" w:eastAsia="zh-CN" w:bidi="ar-SA"/>
    </w:rPr>
  </w:style>
  <w:style w:type="paragraph" w:customStyle="1" w:styleId="286">
    <w:name w:val="样式 256 10 磅"/>
    <w:pPr>
      <w:widowControl w:val="0"/>
      <w:jc w:val="both"/>
    </w:pPr>
    <w:rPr>
      <w:rFonts w:ascii="Calibri" w:eastAsia="宋体" w:cs="Calibri" w:hAnsi="Calibri"/>
      <w:kern w:val="2"/>
      <w:sz w:val="21"/>
      <w:szCs w:val="21"/>
      <w:lang w:val="en-US" w:eastAsia="zh-CN" w:bidi="ar-SA"/>
    </w:rPr>
  </w:style>
  <w:style w:type="paragraph" w:customStyle="1" w:styleId="287">
    <w:name w:val="样式 257 10 磅"/>
    <w:pPr>
      <w:widowControl w:val="0"/>
      <w:jc w:val="both"/>
    </w:pPr>
    <w:rPr>
      <w:rFonts w:ascii="Calibri" w:eastAsia="宋体" w:cs="Calibri" w:hAnsi="Calibri"/>
      <w:kern w:val="2"/>
      <w:sz w:val="21"/>
      <w:szCs w:val="21"/>
      <w:lang w:val="en-US" w:eastAsia="zh-CN" w:bidi="ar-SA"/>
    </w:rPr>
  </w:style>
  <w:style w:type="paragraph" w:customStyle="1" w:styleId="288">
    <w:name w:val="样式 258 10 磅"/>
    <w:pPr>
      <w:widowControl w:val="0"/>
      <w:jc w:val="both"/>
    </w:pPr>
    <w:rPr>
      <w:rFonts w:ascii="Calibri" w:eastAsia="宋体" w:cs="Calibri" w:hAnsi="Calibri"/>
      <w:kern w:val="2"/>
      <w:sz w:val="21"/>
      <w:szCs w:val="21"/>
      <w:lang w:val="en-US" w:eastAsia="zh-CN" w:bidi="ar-SA"/>
    </w:rPr>
  </w:style>
  <w:style w:type="paragraph" w:customStyle="1" w:styleId="289">
    <w:name w:val="样式 259 10 磅"/>
    <w:pPr>
      <w:widowControl w:val="0"/>
      <w:jc w:val="both"/>
    </w:pPr>
    <w:rPr>
      <w:rFonts w:ascii="Calibri" w:eastAsia="宋体" w:cs="Calibri" w:hAnsi="Calibri"/>
      <w:kern w:val="2"/>
      <w:sz w:val="21"/>
      <w:szCs w:val="21"/>
      <w:lang w:val="en-US" w:eastAsia="zh-CN" w:bidi="ar-SA"/>
    </w:rPr>
  </w:style>
  <w:style w:type="paragraph" w:customStyle="1" w:styleId="290">
    <w:name w:val="样式 260 10 磅"/>
    <w:pPr>
      <w:widowControl w:val="0"/>
      <w:jc w:val="both"/>
    </w:pPr>
    <w:rPr>
      <w:rFonts w:ascii="Calibri" w:eastAsia="宋体" w:cs="Calibri" w:hAnsi="Calibri"/>
      <w:kern w:val="2"/>
      <w:sz w:val="21"/>
      <w:szCs w:val="21"/>
      <w:lang w:val="en-US" w:eastAsia="zh-CN" w:bidi="ar-SA"/>
    </w:rPr>
  </w:style>
  <w:style w:type="paragraph" w:customStyle="1" w:styleId="291">
    <w:name w:val="样式 261 10 磅"/>
    <w:pPr>
      <w:widowControl w:val="0"/>
      <w:jc w:val="both"/>
    </w:pPr>
    <w:rPr>
      <w:rFonts w:ascii="Calibri" w:eastAsia="宋体" w:cs="Calibri" w:hAnsi="Calibri"/>
      <w:kern w:val="2"/>
      <w:sz w:val="21"/>
      <w:szCs w:val="21"/>
      <w:lang w:val="en-US" w:eastAsia="zh-CN" w:bidi="ar-SA"/>
    </w:rPr>
  </w:style>
  <w:style w:type="paragraph" w:customStyle="1" w:styleId="292">
    <w:name w:val="样式 262 10 磅"/>
    <w:pPr>
      <w:widowControl w:val="0"/>
      <w:jc w:val="both"/>
    </w:pPr>
    <w:rPr>
      <w:rFonts w:ascii="Calibri" w:eastAsia="宋体" w:cs="Calibri" w:hAnsi="Calibri"/>
      <w:kern w:val="2"/>
      <w:sz w:val="21"/>
      <w:szCs w:val="21"/>
      <w:lang w:val="en-US" w:eastAsia="zh-CN" w:bidi="ar-SA"/>
    </w:rPr>
  </w:style>
  <w:style w:type="paragraph" w:customStyle="1" w:styleId="293">
    <w:name w:val="样式 263 10 磅"/>
    <w:pPr>
      <w:widowControl w:val="0"/>
      <w:jc w:val="both"/>
    </w:pPr>
    <w:rPr>
      <w:rFonts w:ascii="Calibri" w:eastAsia="宋体" w:cs="Calibri" w:hAnsi="Calibri"/>
      <w:kern w:val="2"/>
      <w:sz w:val="21"/>
      <w:szCs w:val="21"/>
      <w:lang w:val="en-US" w:eastAsia="zh-CN" w:bidi="ar-SA"/>
    </w:rPr>
  </w:style>
  <w:style w:type="paragraph" w:customStyle="1" w:styleId="294">
    <w:name w:val="样式 264 10 磅"/>
    <w:pPr>
      <w:widowControl w:val="0"/>
      <w:jc w:val="both"/>
    </w:pPr>
    <w:rPr>
      <w:rFonts w:ascii="Calibri" w:eastAsia="宋体" w:cs="Calibri" w:hAnsi="Calibri"/>
      <w:kern w:val="2"/>
      <w:sz w:val="21"/>
      <w:szCs w:val="21"/>
      <w:lang w:val="en-US" w:eastAsia="zh-CN" w:bidi="ar-SA"/>
    </w:rPr>
  </w:style>
  <w:style w:type="paragraph" w:customStyle="1" w:styleId="295">
    <w:name w:val="样式 265 10 磅"/>
    <w:pPr>
      <w:widowControl w:val="0"/>
      <w:jc w:val="both"/>
    </w:pPr>
    <w:rPr>
      <w:rFonts w:ascii="Calibri" w:eastAsia="宋体" w:cs="Calibri" w:hAnsi="Calibri"/>
      <w:kern w:val="2"/>
      <w:sz w:val="21"/>
      <w:szCs w:val="21"/>
      <w:lang w:val="en-US" w:eastAsia="zh-CN" w:bidi="ar-SA"/>
    </w:rPr>
  </w:style>
  <w:style w:type="paragraph" w:customStyle="1" w:styleId="296">
    <w:name w:val="样式 266 10 磅"/>
    <w:pPr>
      <w:widowControl w:val="0"/>
      <w:jc w:val="both"/>
    </w:pPr>
    <w:rPr>
      <w:rFonts w:ascii="Calibri" w:eastAsia="宋体" w:cs="Calibri" w:hAnsi="Calibri"/>
      <w:kern w:val="2"/>
      <w:sz w:val="21"/>
      <w:szCs w:val="21"/>
      <w:lang w:val="en-US" w:eastAsia="zh-CN" w:bidi="ar-SA"/>
    </w:rPr>
  </w:style>
  <w:style w:type="paragraph" w:customStyle="1" w:styleId="297">
    <w:name w:val="样式 267 10 磅"/>
    <w:pPr>
      <w:widowControl w:val="0"/>
      <w:jc w:val="both"/>
    </w:pPr>
    <w:rPr>
      <w:rFonts w:ascii="Calibri" w:eastAsia="宋体" w:cs="Calibri" w:hAnsi="Calibri"/>
      <w:kern w:val="2"/>
      <w:sz w:val="21"/>
      <w:szCs w:val="21"/>
      <w:lang w:val="en-US" w:eastAsia="zh-CN" w:bidi="ar-SA"/>
    </w:rPr>
  </w:style>
  <w:style w:type="paragraph" w:customStyle="1" w:styleId="298">
    <w:name w:val="样式 268 10 磅"/>
    <w:pPr>
      <w:widowControl w:val="0"/>
      <w:jc w:val="both"/>
    </w:pPr>
    <w:rPr>
      <w:rFonts w:ascii="Calibri" w:eastAsia="宋体" w:cs="Calibri" w:hAnsi="Calibri"/>
      <w:kern w:val="2"/>
      <w:sz w:val="21"/>
      <w:szCs w:val="21"/>
      <w:lang w:val="en-US" w:eastAsia="zh-CN" w:bidi="ar-SA"/>
    </w:rPr>
  </w:style>
  <w:style w:type="paragraph" w:customStyle="1" w:styleId="299">
    <w:name w:val="样式 269 10 磅"/>
    <w:pPr>
      <w:widowControl w:val="0"/>
      <w:jc w:val="both"/>
    </w:pPr>
    <w:rPr>
      <w:rFonts w:ascii="Calibri" w:eastAsia="宋体" w:cs="Calibri" w:hAnsi="Calibri"/>
      <w:kern w:val="2"/>
      <w:sz w:val="21"/>
      <w:szCs w:val="21"/>
      <w:lang w:val="en-US" w:eastAsia="zh-CN" w:bidi="ar-SA"/>
    </w:rPr>
  </w:style>
  <w:style w:type="paragraph" w:customStyle="1" w:styleId="300">
    <w:name w:val="样式 270 10 磅"/>
    <w:pPr>
      <w:widowControl w:val="0"/>
      <w:jc w:val="both"/>
    </w:pPr>
    <w:rPr>
      <w:rFonts w:ascii="Calibri" w:eastAsia="宋体" w:cs="Calibri" w:hAnsi="Calibri"/>
      <w:kern w:val="2"/>
      <w:sz w:val="21"/>
      <w:szCs w:val="21"/>
      <w:lang w:val="en-US" w:eastAsia="zh-CN" w:bidi="ar-SA"/>
    </w:rPr>
  </w:style>
  <w:style w:type="paragraph" w:customStyle="1" w:styleId="301">
    <w:name w:val="样式 271 10 磅"/>
    <w:pPr>
      <w:widowControl w:val="0"/>
      <w:jc w:val="both"/>
    </w:pPr>
    <w:rPr>
      <w:rFonts w:ascii="Calibri" w:eastAsia="宋体" w:cs="Calibri" w:hAnsi="Calibri"/>
      <w:kern w:val="2"/>
      <w:sz w:val="21"/>
      <w:szCs w:val="21"/>
      <w:lang w:val="en-US" w:eastAsia="zh-CN" w:bidi="ar-SA"/>
    </w:rPr>
  </w:style>
  <w:style w:type="paragraph" w:customStyle="1" w:styleId="302">
    <w:name w:val="样式 272 10 磅"/>
    <w:pPr>
      <w:widowControl w:val="0"/>
      <w:jc w:val="both"/>
    </w:pPr>
    <w:rPr>
      <w:rFonts w:ascii="Calibri" w:eastAsia="宋体" w:cs="Calibri" w:hAnsi="Calibri"/>
      <w:kern w:val="2"/>
      <w:sz w:val="21"/>
      <w:szCs w:val="21"/>
      <w:lang w:val="en-US" w:eastAsia="zh-CN" w:bidi="ar-SA"/>
    </w:rPr>
  </w:style>
  <w:style w:type="paragraph" w:customStyle="1" w:styleId="303">
    <w:name w:val="样式 273 10 磅"/>
    <w:pPr>
      <w:widowControl w:val="0"/>
      <w:jc w:val="both"/>
    </w:pPr>
    <w:rPr>
      <w:rFonts w:ascii="Calibri" w:eastAsia="宋体" w:cs="Calibri" w:hAnsi="Calibri"/>
      <w:kern w:val="2"/>
      <w:sz w:val="21"/>
      <w:szCs w:val="21"/>
      <w:lang w:val="en-US" w:eastAsia="zh-CN" w:bidi="ar-SA"/>
    </w:rPr>
  </w:style>
  <w:style w:type="paragraph" w:customStyle="1" w:styleId="304">
    <w:name w:val="样式 274 10 磅"/>
    <w:pPr>
      <w:widowControl w:val="0"/>
      <w:jc w:val="both"/>
    </w:pPr>
    <w:rPr>
      <w:rFonts w:ascii="Calibri" w:eastAsia="宋体" w:cs="Calibri" w:hAnsi="Calibri"/>
      <w:kern w:val="2"/>
      <w:sz w:val="21"/>
      <w:szCs w:val="21"/>
      <w:lang w:val="en-US" w:eastAsia="zh-CN" w:bidi="ar-SA"/>
    </w:rPr>
  </w:style>
  <w:style w:type="paragraph" w:customStyle="1" w:styleId="305">
    <w:name w:val="样式 275 10 磅"/>
    <w:pPr>
      <w:widowControl w:val="0"/>
      <w:jc w:val="both"/>
    </w:pPr>
    <w:rPr>
      <w:rFonts w:ascii="Calibri" w:eastAsia="宋体" w:cs="Calibri" w:hAnsi="Calibri"/>
      <w:kern w:val="2"/>
      <w:sz w:val="21"/>
      <w:szCs w:val="21"/>
      <w:lang w:val="en-US" w:eastAsia="zh-CN" w:bidi="ar-SA"/>
    </w:rPr>
  </w:style>
  <w:style w:type="paragraph" w:customStyle="1" w:styleId="306">
    <w:name w:val="样式 276 10 磅"/>
    <w:pPr>
      <w:widowControl w:val="0"/>
      <w:jc w:val="both"/>
    </w:pPr>
    <w:rPr>
      <w:rFonts w:ascii="Calibri" w:eastAsia="宋体" w:cs="Calibri" w:hAnsi="Calibri"/>
      <w:kern w:val="2"/>
      <w:sz w:val="21"/>
      <w:szCs w:val="21"/>
      <w:lang w:val="en-US" w:eastAsia="zh-CN" w:bidi="ar-SA"/>
    </w:rPr>
  </w:style>
  <w:style w:type="paragraph" w:customStyle="1" w:styleId="307">
    <w:name w:val="样式 277 10 磅"/>
    <w:pPr>
      <w:widowControl w:val="0"/>
      <w:jc w:val="both"/>
    </w:pPr>
    <w:rPr>
      <w:rFonts w:ascii="Calibri" w:eastAsia="宋体" w:cs="Calibri" w:hAnsi="Calibri"/>
      <w:kern w:val="2"/>
      <w:sz w:val="21"/>
      <w:szCs w:val="21"/>
      <w:lang w:val="en-US" w:eastAsia="zh-CN" w:bidi="ar-SA"/>
    </w:rPr>
  </w:style>
  <w:style w:type="paragraph" w:customStyle="1" w:styleId="308">
    <w:name w:val="样式 278 10 磅"/>
    <w:pPr>
      <w:widowControl w:val="0"/>
      <w:jc w:val="both"/>
    </w:pPr>
    <w:rPr>
      <w:rFonts w:ascii="Calibri" w:eastAsia="宋体" w:cs="Calibri" w:hAnsi="Calibri"/>
      <w:kern w:val="2"/>
      <w:sz w:val="21"/>
      <w:szCs w:val="21"/>
      <w:lang w:val="en-US" w:eastAsia="zh-CN" w:bidi="ar-SA"/>
    </w:rPr>
  </w:style>
  <w:style w:type="paragraph" w:customStyle="1" w:styleId="309">
    <w:name w:val="样式 279 10 磅"/>
    <w:pPr>
      <w:widowControl w:val="0"/>
      <w:jc w:val="both"/>
    </w:pPr>
    <w:rPr>
      <w:rFonts w:ascii="Calibri" w:eastAsia="宋体" w:cs="Calibri" w:hAnsi="Calibri"/>
      <w:kern w:val="2"/>
      <w:sz w:val="21"/>
      <w:szCs w:val="21"/>
      <w:lang w:val="en-US" w:eastAsia="zh-CN" w:bidi="ar-SA"/>
    </w:rPr>
  </w:style>
  <w:style w:type="paragraph" w:customStyle="1" w:styleId="310">
    <w:name w:val="样式 280 10 磅"/>
    <w:pPr>
      <w:widowControl w:val="0"/>
      <w:jc w:val="both"/>
    </w:pPr>
    <w:rPr>
      <w:rFonts w:ascii="Calibri" w:eastAsia="宋体" w:cs="Calibri" w:hAnsi="Calibri"/>
      <w:kern w:val="2"/>
      <w:sz w:val="21"/>
      <w:szCs w:val="21"/>
      <w:lang w:val="en-US" w:eastAsia="zh-CN" w:bidi="ar-SA"/>
    </w:rPr>
  </w:style>
  <w:style w:type="paragraph" w:customStyle="1" w:styleId="311">
    <w:name w:val="样式 281 10 磅"/>
    <w:pPr>
      <w:widowControl w:val="0"/>
      <w:jc w:val="both"/>
    </w:pPr>
    <w:rPr>
      <w:rFonts w:ascii="Calibri" w:eastAsia="宋体" w:cs="Calibri" w:hAnsi="Calibri"/>
      <w:kern w:val="2"/>
      <w:sz w:val="21"/>
      <w:szCs w:val="21"/>
      <w:lang w:val="en-US" w:eastAsia="zh-CN" w:bidi="ar-SA"/>
    </w:rPr>
  </w:style>
  <w:style w:type="paragraph" w:customStyle="1" w:styleId="312">
    <w:name w:val="样式 282 10 磅"/>
    <w:pPr>
      <w:widowControl w:val="0"/>
      <w:jc w:val="both"/>
    </w:pPr>
    <w:rPr>
      <w:rFonts w:ascii="Calibri" w:eastAsia="宋体" w:cs="Calibri" w:hAnsi="Calibri"/>
      <w:kern w:val="2"/>
      <w:sz w:val="21"/>
      <w:szCs w:val="21"/>
      <w:lang w:val="en-US" w:eastAsia="zh-CN" w:bidi="ar-SA"/>
    </w:rPr>
  </w:style>
  <w:style w:type="paragraph" w:customStyle="1" w:styleId="313">
    <w:name w:val="样式 283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1901</TotalTime>
  <Application>Yozo_Office</Application>
  <Pages>12</Pages>
  <Words>11513</Words>
  <Characters>12679</Characters>
  <Lines>351</Lines>
  <Paragraphs>168</Paragraphs>
  <CharactersWithSpaces>12784</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汪绍文</cp:lastModifiedBy>
  <cp:revision>5</cp:revision>
  <dcterms:created xsi:type="dcterms:W3CDTF">2024-01-26T03:30:00Z</dcterms:created>
  <dcterms:modified xsi:type="dcterms:W3CDTF">2026-08-25T08:42:37Z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